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23D8" w14:textId="5471072D" w:rsidR="00060223" w:rsidRDefault="00060223">
      <w:r>
        <w:rPr>
          <w:noProof/>
          <w:sz w:val="40"/>
          <w:lang w:val="en-GB"/>
        </w:rPr>
        <w:drawing>
          <wp:anchor distT="0" distB="0" distL="114300" distR="114300" simplePos="0" relativeHeight="251658240" behindDoc="0" locked="0" layoutInCell="1" allowOverlap="1" wp14:anchorId="4DB78FD8" wp14:editId="161641B7">
            <wp:simplePos x="901700" y="901700"/>
            <wp:positionH relativeFrom="column">
              <wp:align>left</wp:align>
            </wp:positionH>
            <wp:positionV relativeFrom="paragraph">
              <wp:align>top</wp:align>
            </wp:positionV>
            <wp:extent cx="1249192" cy="7556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192" cy="755650"/>
                    </a:xfrm>
                    <a:prstGeom prst="rect">
                      <a:avLst/>
                    </a:prstGeom>
                  </pic:spPr>
                </pic:pic>
              </a:graphicData>
            </a:graphic>
          </wp:anchor>
        </w:drawing>
      </w:r>
      <w:r w:rsidR="005033B1">
        <w:br w:type="textWrapping" w:clear="all"/>
      </w:r>
    </w:p>
    <w:p w14:paraId="6E36DD2C" w14:textId="77777777" w:rsidR="00060223" w:rsidRDefault="00060223" w:rsidP="00060223">
      <w:pPr>
        <w:jc w:val="center"/>
        <w:rPr>
          <w:b/>
          <w:lang w:val="en-GB"/>
        </w:rPr>
      </w:pPr>
      <w:r w:rsidRPr="00060223">
        <w:rPr>
          <w:b/>
          <w:lang w:val="en-GB"/>
        </w:rPr>
        <w:t xml:space="preserve">Child Rights Connect submission </w:t>
      </w:r>
      <w:r>
        <w:rPr>
          <w:b/>
          <w:lang w:val="en-GB"/>
        </w:rPr>
        <w:t>to the</w:t>
      </w:r>
      <w:r w:rsidRPr="00060223">
        <w:rPr>
          <w:b/>
          <w:lang w:val="en-GB"/>
        </w:rPr>
        <w:t xml:space="preserve"> UN Office of the High Commissioner for Human Rights</w:t>
      </w:r>
      <w:r>
        <w:rPr>
          <w:b/>
          <w:lang w:val="en-GB"/>
        </w:rPr>
        <w:t xml:space="preserve">’ </w:t>
      </w:r>
      <w:r w:rsidRPr="00060223">
        <w:rPr>
          <w:b/>
          <w:lang w:val="en-GB"/>
        </w:rPr>
        <w:t xml:space="preserve">report </w:t>
      </w:r>
      <w:r>
        <w:rPr>
          <w:b/>
          <w:lang w:val="en-GB"/>
        </w:rPr>
        <w:t xml:space="preserve">on child rights to the 2019 High Level Political Forum </w:t>
      </w:r>
    </w:p>
    <w:p w14:paraId="49CFDAAB" w14:textId="77777777" w:rsidR="00895B4D" w:rsidRDefault="00060223" w:rsidP="00AA5E0A">
      <w:pPr>
        <w:jc w:val="center"/>
        <w:rPr>
          <w:b/>
          <w:lang w:val="en-GB"/>
        </w:rPr>
      </w:pPr>
      <w:r>
        <w:rPr>
          <w:b/>
          <w:lang w:val="en-GB"/>
        </w:rPr>
        <w:t>May</w:t>
      </w:r>
      <w:r w:rsidRPr="00060223">
        <w:rPr>
          <w:b/>
          <w:lang w:val="en-GB"/>
        </w:rPr>
        <w:t xml:space="preserve"> 201</w:t>
      </w:r>
      <w:r>
        <w:rPr>
          <w:b/>
          <w:lang w:val="en-GB"/>
        </w:rPr>
        <w:t>9</w:t>
      </w:r>
    </w:p>
    <w:p w14:paraId="4604AB5C" w14:textId="77777777" w:rsidR="00060223" w:rsidRDefault="00060223" w:rsidP="00B94F04">
      <w:pPr>
        <w:spacing w:after="0" w:line="240" w:lineRule="auto"/>
        <w:jc w:val="both"/>
        <w:rPr>
          <w:b/>
          <w:lang w:val="en-GB"/>
        </w:rPr>
      </w:pPr>
      <w:r>
        <w:rPr>
          <w:b/>
          <w:lang w:val="en-GB"/>
        </w:rPr>
        <w:t>Introduction</w:t>
      </w:r>
    </w:p>
    <w:p w14:paraId="3C2ECF13" w14:textId="77777777" w:rsidR="00C73473" w:rsidRDefault="00C73473" w:rsidP="00B94F04">
      <w:pPr>
        <w:spacing w:after="0" w:line="240" w:lineRule="auto"/>
        <w:jc w:val="both"/>
        <w:rPr>
          <w:lang w:val="en-GB"/>
        </w:rPr>
      </w:pPr>
    </w:p>
    <w:p w14:paraId="6ACADFE5" w14:textId="061E900B" w:rsidR="00BC1B5A" w:rsidRDefault="00783139" w:rsidP="00B94F04">
      <w:pPr>
        <w:spacing w:after="0" w:line="240" w:lineRule="auto"/>
        <w:jc w:val="both"/>
        <w:rPr>
          <w:rFonts w:ascii="Calibri" w:eastAsia="Times New Roman" w:hAnsi="Calibri" w:cs="Calibri"/>
          <w:lang w:val="en-GB" w:eastAsia="en-GB"/>
        </w:rPr>
      </w:pPr>
      <w:r w:rsidRPr="00BC1B5A">
        <w:rPr>
          <w:lang w:val="en-GB"/>
        </w:rPr>
        <w:t xml:space="preserve">The </w:t>
      </w:r>
      <w:r w:rsidR="001B43A1" w:rsidRPr="00BC1B5A">
        <w:rPr>
          <w:lang w:val="en-GB"/>
        </w:rPr>
        <w:t>2019 H</w:t>
      </w:r>
      <w:r w:rsidRPr="00BC1B5A">
        <w:rPr>
          <w:lang w:val="en-GB"/>
        </w:rPr>
        <w:t>igh-</w:t>
      </w:r>
      <w:r w:rsidR="001B43A1" w:rsidRPr="00BC1B5A">
        <w:rPr>
          <w:lang w:val="en-GB"/>
        </w:rPr>
        <w:t>L</w:t>
      </w:r>
      <w:r w:rsidRPr="00BC1B5A">
        <w:rPr>
          <w:lang w:val="en-GB"/>
        </w:rPr>
        <w:t xml:space="preserve">evel </w:t>
      </w:r>
      <w:r w:rsidR="001B43A1" w:rsidRPr="00BC1B5A">
        <w:rPr>
          <w:lang w:val="en-GB"/>
        </w:rPr>
        <w:t>P</w:t>
      </w:r>
      <w:r w:rsidRPr="00BC1B5A">
        <w:rPr>
          <w:lang w:val="en-GB"/>
        </w:rPr>
        <w:t xml:space="preserve">olitical </w:t>
      </w:r>
      <w:r w:rsidR="001B43A1" w:rsidRPr="00BC1B5A">
        <w:rPr>
          <w:lang w:val="en-GB"/>
        </w:rPr>
        <w:t>F</w:t>
      </w:r>
      <w:r w:rsidRPr="00BC1B5A">
        <w:rPr>
          <w:lang w:val="en-GB"/>
        </w:rPr>
        <w:t>orum’s</w:t>
      </w:r>
      <w:r w:rsidR="001B43A1" w:rsidRPr="00BC1B5A">
        <w:rPr>
          <w:lang w:val="en-GB"/>
        </w:rPr>
        <w:t xml:space="preserve"> theme</w:t>
      </w:r>
      <w:r w:rsidR="00ED042E">
        <w:rPr>
          <w:lang w:val="en-GB"/>
        </w:rPr>
        <w:t>,</w:t>
      </w:r>
      <w:r w:rsidR="001B43A1" w:rsidRPr="00BC1B5A">
        <w:rPr>
          <w:lang w:val="en-GB"/>
        </w:rPr>
        <w:t xml:space="preserve"> </w:t>
      </w:r>
      <w:r w:rsidR="00ED042E">
        <w:rPr>
          <w:lang w:val="en-GB"/>
        </w:rPr>
        <w:t>“</w:t>
      </w:r>
      <w:r w:rsidR="001B43A1" w:rsidRPr="00BC1B5A">
        <w:rPr>
          <w:lang w:val="en-GB"/>
        </w:rPr>
        <w:t>Empowering people and ensuring inclusiveness and equality</w:t>
      </w:r>
      <w:r w:rsidR="00ED042E">
        <w:rPr>
          <w:lang w:val="en-GB"/>
        </w:rPr>
        <w:t>”,</w:t>
      </w:r>
      <w:r w:rsidR="001B43A1" w:rsidRPr="00BC1B5A">
        <w:rPr>
          <w:lang w:val="en-GB"/>
        </w:rPr>
        <w:t xml:space="preserve"> is </w:t>
      </w:r>
      <w:r w:rsidR="00D23FD5" w:rsidRPr="00BC1B5A">
        <w:rPr>
          <w:lang w:val="en-GB"/>
        </w:rPr>
        <w:t>of utmost importance to children’s rights</w:t>
      </w:r>
      <w:r w:rsidR="003C577B" w:rsidRPr="00BC1B5A">
        <w:rPr>
          <w:lang w:val="en-GB"/>
        </w:rPr>
        <w:t>. E</w:t>
      </w:r>
      <w:r w:rsidR="00D23FD5" w:rsidRPr="00BC1B5A">
        <w:rPr>
          <w:lang w:val="en-GB"/>
        </w:rPr>
        <w:t xml:space="preserve">mpowering children </w:t>
      </w:r>
      <w:r w:rsidR="00E32BE7">
        <w:rPr>
          <w:lang w:val="en-GB"/>
        </w:rPr>
        <w:t>from</w:t>
      </w:r>
      <w:r w:rsidR="00D23FD5" w:rsidRPr="00BC1B5A">
        <w:rPr>
          <w:lang w:val="en-GB"/>
        </w:rPr>
        <w:t xml:space="preserve"> a young age is critical </w:t>
      </w:r>
      <w:r w:rsidR="003C577B" w:rsidRPr="00BC1B5A">
        <w:rPr>
          <w:lang w:val="en-GB"/>
        </w:rPr>
        <w:t xml:space="preserve">to </w:t>
      </w:r>
      <w:r w:rsidR="00D23FD5" w:rsidRPr="00BC1B5A">
        <w:rPr>
          <w:lang w:val="en-GB"/>
        </w:rPr>
        <w:t>achiev</w:t>
      </w:r>
      <w:r w:rsidR="003C577B" w:rsidRPr="00BC1B5A">
        <w:rPr>
          <w:lang w:val="en-GB"/>
        </w:rPr>
        <w:t>ing inclusive, equitable and sustainable</w:t>
      </w:r>
      <w:r w:rsidR="00D23FD5" w:rsidRPr="00BC1B5A">
        <w:rPr>
          <w:lang w:val="en-GB"/>
        </w:rPr>
        <w:t xml:space="preserve"> societies.</w:t>
      </w:r>
      <w:r w:rsidR="00AA5E0A" w:rsidRPr="00BC1B5A">
        <w:rPr>
          <w:lang w:val="en-GB"/>
        </w:rPr>
        <w:t xml:space="preserve"> </w:t>
      </w:r>
      <w:r w:rsidR="008F6986" w:rsidRPr="00BC1B5A">
        <w:rPr>
          <w:lang w:val="en-GB"/>
        </w:rPr>
        <w:t xml:space="preserve">Children are entitled to empowerment measures and special protection </w:t>
      </w:r>
      <w:r w:rsidR="008F6986" w:rsidRPr="008F6986">
        <w:rPr>
          <w:rFonts w:ascii="Calibri" w:eastAsia="Times New Roman" w:hAnsi="Calibri" w:cs="Calibri"/>
          <w:lang w:val="en-GB" w:eastAsia="en-GB"/>
        </w:rPr>
        <w:t>based on their right</w:t>
      </w:r>
      <w:r w:rsidR="00ED042E">
        <w:rPr>
          <w:rFonts w:ascii="Calibri" w:eastAsia="Times New Roman" w:hAnsi="Calibri" w:cs="Calibri"/>
          <w:lang w:val="en-GB" w:eastAsia="en-GB"/>
        </w:rPr>
        <w:t>s</w:t>
      </w:r>
      <w:r w:rsidR="008F6986" w:rsidRPr="008F6986">
        <w:rPr>
          <w:rFonts w:ascii="Calibri" w:eastAsia="Times New Roman" w:hAnsi="Calibri" w:cs="Calibri"/>
          <w:lang w:val="en-GB" w:eastAsia="en-GB"/>
        </w:rPr>
        <w:t xml:space="preserve"> to be heard, participate in decision-making and exercis</w:t>
      </w:r>
      <w:r w:rsidR="00ED042E">
        <w:rPr>
          <w:rFonts w:ascii="Calibri" w:eastAsia="Times New Roman" w:hAnsi="Calibri" w:cs="Calibri"/>
          <w:lang w:val="en-GB" w:eastAsia="en-GB"/>
        </w:rPr>
        <w:t>e</w:t>
      </w:r>
      <w:r w:rsidR="008F6986" w:rsidRPr="008F6986">
        <w:rPr>
          <w:rFonts w:ascii="Calibri" w:eastAsia="Times New Roman" w:hAnsi="Calibri" w:cs="Calibri"/>
          <w:lang w:val="en-GB" w:eastAsia="en-GB"/>
        </w:rPr>
        <w:t xml:space="preserve"> their civil rights and freedoms</w:t>
      </w:r>
      <w:r w:rsidR="003C577B" w:rsidRPr="00BC1B5A">
        <w:rPr>
          <w:rFonts w:ascii="Calibri" w:eastAsia="Times New Roman" w:hAnsi="Calibri" w:cs="Calibri"/>
          <w:lang w:val="en-GB" w:eastAsia="en-GB"/>
        </w:rPr>
        <w:t xml:space="preserve">. </w:t>
      </w:r>
    </w:p>
    <w:p w14:paraId="03FC45C9" w14:textId="77777777" w:rsidR="00BC1B5A" w:rsidRDefault="00BC1B5A" w:rsidP="00B94F04">
      <w:pPr>
        <w:spacing w:after="0" w:line="240" w:lineRule="auto"/>
        <w:jc w:val="both"/>
        <w:rPr>
          <w:rFonts w:ascii="Calibri" w:eastAsia="Times New Roman" w:hAnsi="Calibri" w:cs="Calibri"/>
          <w:lang w:val="en-GB" w:eastAsia="en-GB"/>
        </w:rPr>
      </w:pPr>
    </w:p>
    <w:p w14:paraId="000DF196" w14:textId="2E071706" w:rsidR="003C577B" w:rsidRPr="003C602E" w:rsidRDefault="00BC1B5A" w:rsidP="00B94F04">
      <w:pPr>
        <w:spacing w:after="0" w:line="240" w:lineRule="auto"/>
        <w:jc w:val="both"/>
        <w:rPr>
          <w:rFonts w:ascii="Calibri" w:eastAsia="Times New Roman" w:hAnsi="Calibri" w:cs="Calibri"/>
          <w:lang w:val="en-GB" w:eastAsia="en-GB"/>
        </w:rPr>
      </w:pPr>
      <w:r w:rsidRPr="003C602E">
        <w:rPr>
          <w:lang w:val="en-GB"/>
        </w:rPr>
        <w:t>Children themselves, all over the world, are advocating for the realisation of their</w:t>
      </w:r>
      <w:r w:rsidR="00E32BE7">
        <w:rPr>
          <w:lang w:val="en-GB"/>
        </w:rPr>
        <w:t xml:space="preserve"> and other</w:t>
      </w:r>
      <w:r w:rsidR="00ED042E">
        <w:rPr>
          <w:lang w:val="en-GB"/>
        </w:rPr>
        <w:t>’</w:t>
      </w:r>
      <w:r w:rsidR="00E32BE7">
        <w:rPr>
          <w:lang w:val="en-GB"/>
        </w:rPr>
        <w:t>s</w:t>
      </w:r>
      <w:r w:rsidRPr="003C602E">
        <w:rPr>
          <w:lang w:val="en-GB"/>
        </w:rPr>
        <w:t xml:space="preserve"> rights and the </w:t>
      </w:r>
      <w:r w:rsidR="001C6C61">
        <w:rPr>
          <w:lang w:val="en-GB"/>
        </w:rPr>
        <w:t>S</w:t>
      </w:r>
      <w:r w:rsidR="00615595" w:rsidRPr="003C602E">
        <w:rPr>
          <w:lang w:val="en-GB"/>
        </w:rPr>
        <w:t xml:space="preserve">ustainable </w:t>
      </w:r>
      <w:r w:rsidR="001C6C61">
        <w:rPr>
          <w:lang w:val="en-GB"/>
        </w:rPr>
        <w:t>D</w:t>
      </w:r>
      <w:r w:rsidR="00615595" w:rsidRPr="003C602E">
        <w:rPr>
          <w:lang w:val="en-GB"/>
        </w:rPr>
        <w:t xml:space="preserve">evelopment </w:t>
      </w:r>
      <w:r w:rsidR="001C6C61">
        <w:rPr>
          <w:lang w:val="en-GB"/>
        </w:rPr>
        <w:t>G</w:t>
      </w:r>
      <w:r w:rsidR="00615595" w:rsidRPr="003C602E">
        <w:rPr>
          <w:lang w:val="en-GB"/>
        </w:rPr>
        <w:t>oals</w:t>
      </w:r>
      <w:r w:rsidRPr="003C602E">
        <w:rPr>
          <w:lang w:val="en-GB"/>
        </w:rPr>
        <w:t xml:space="preserve"> </w:t>
      </w:r>
      <w:r w:rsidR="00615595" w:rsidRPr="003C602E">
        <w:rPr>
          <w:lang w:val="en-GB"/>
        </w:rPr>
        <w:t>(SDG</w:t>
      </w:r>
      <w:r w:rsidR="00ED042E">
        <w:rPr>
          <w:lang w:val="en-GB"/>
        </w:rPr>
        <w:t>s</w:t>
      </w:r>
      <w:r w:rsidR="00615595" w:rsidRPr="003C602E">
        <w:rPr>
          <w:lang w:val="en-GB"/>
        </w:rPr>
        <w:t xml:space="preserve">) </w:t>
      </w:r>
      <w:r w:rsidRPr="003C602E">
        <w:rPr>
          <w:lang w:val="en-GB"/>
        </w:rPr>
        <w:t>by acting as human rights defenders at the local, national, regional and international levels.</w:t>
      </w:r>
      <w:r w:rsidR="00615595" w:rsidRPr="003C602E">
        <w:rPr>
          <w:rFonts w:ascii="Calibri" w:eastAsia="Times New Roman" w:hAnsi="Calibri" w:cs="Calibri"/>
          <w:lang w:val="en-GB" w:eastAsia="en-GB"/>
        </w:rPr>
        <w:t xml:space="preserve"> Empowering and protecti</w:t>
      </w:r>
      <w:r w:rsidR="00E32BE7">
        <w:rPr>
          <w:rFonts w:ascii="Calibri" w:eastAsia="Times New Roman" w:hAnsi="Calibri" w:cs="Calibri"/>
          <w:lang w:val="en-GB" w:eastAsia="en-GB"/>
        </w:rPr>
        <w:t>ng</w:t>
      </w:r>
      <w:r w:rsidR="00615595" w:rsidRPr="003C602E">
        <w:rPr>
          <w:rFonts w:ascii="Calibri" w:eastAsia="Times New Roman" w:hAnsi="Calibri" w:cs="Calibri"/>
          <w:lang w:val="en-GB" w:eastAsia="en-GB"/>
        </w:rPr>
        <w:t xml:space="preserve"> children human rights defenders is crucial for </w:t>
      </w:r>
      <w:r w:rsidR="003C577B" w:rsidRPr="003C602E">
        <w:rPr>
          <w:rFonts w:ascii="Calibri" w:eastAsia="Times New Roman" w:hAnsi="Calibri" w:cs="Calibri"/>
          <w:lang w:val="en-GB" w:eastAsia="en-GB"/>
        </w:rPr>
        <w:t>States</w:t>
      </w:r>
      <w:r w:rsidR="00615595" w:rsidRPr="003C602E">
        <w:rPr>
          <w:rFonts w:ascii="Calibri" w:eastAsia="Times New Roman" w:hAnsi="Calibri" w:cs="Calibri"/>
          <w:lang w:val="en-GB" w:eastAsia="en-GB"/>
        </w:rPr>
        <w:t xml:space="preserve"> </w:t>
      </w:r>
      <w:r w:rsidR="003C577B" w:rsidRPr="003C602E">
        <w:rPr>
          <w:rFonts w:ascii="Calibri" w:eastAsia="Times New Roman" w:hAnsi="Calibri" w:cs="Calibri"/>
          <w:lang w:val="en-GB" w:eastAsia="en-GB"/>
        </w:rPr>
        <w:t>to achieve the SDGs</w:t>
      </w:r>
      <w:r w:rsidR="003C602E" w:rsidRPr="003C602E">
        <w:rPr>
          <w:rFonts w:ascii="Calibri" w:eastAsia="Times New Roman" w:hAnsi="Calibri" w:cs="Calibri"/>
          <w:lang w:val="en-GB" w:eastAsia="en-GB"/>
        </w:rPr>
        <w:t xml:space="preserve">, </w:t>
      </w:r>
      <w:proofErr w:type="gramStart"/>
      <w:r w:rsidR="003C602E" w:rsidRPr="003C602E">
        <w:rPr>
          <w:rFonts w:ascii="Calibri" w:eastAsia="Times New Roman" w:hAnsi="Calibri" w:cs="Calibri"/>
          <w:lang w:val="en-GB" w:eastAsia="en-GB"/>
        </w:rPr>
        <w:t>in particular goals</w:t>
      </w:r>
      <w:proofErr w:type="gramEnd"/>
      <w:r w:rsidR="003C602E" w:rsidRPr="003C602E">
        <w:rPr>
          <w:lang w:val="en-GB"/>
        </w:rPr>
        <w:t xml:space="preserve"> 16 and 17 with their targets on fundamental freedoms, participatory decision-making, access to information and strengthened civil society partnerships.</w:t>
      </w:r>
    </w:p>
    <w:p w14:paraId="31F9B87F" w14:textId="77777777" w:rsidR="00BC1B5A" w:rsidRPr="003C602E" w:rsidRDefault="00BC1B5A" w:rsidP="00B94F04">
      <w:pPr>
        <w:spacing w:after="0" w:line="240" w:lineRule="auto"/>
        <w:jc w:val="both"/>
        <w:rPr>
          <w:lang w:val="en-GB"/>
        </w:rPr>
      </w:pPr>
    </w:p>
    <w:p w14:paraId="5427B209" w14:textId="1920C7BF" w:rsidR="00CC3844" w:rsidRDefault="003226EC" w:rsidP="00B94F04">
      <w:pPr>
        <w:spacing w:after="0" w:line="240" w:lineRule="auto"/>
        <w:jc w:val="both"/>
        <w:rPr>
          <w:lang w:val="en-GB"/>
        </w:rPr>
      </w:pPr>
      <w:r>
        <w:rPr>
          <w:rFonts w:ascii="Calibri" w:eastAsia="Times New Roman" w:hAnsi="Calibri" w:cs="Calibri"/>
          <w:lang w:val="en-GB" w:eastAsia="en-GB"/>
        </w:rPr>
        <w:t>The</w:t>
      </w:r>
      <w:r w:rsidR="008E790A">
        <w:rPr>
          <w:rFonts w:ascii="Calibri" w:eastAsia="Times New Roman" w:hAnsi="Calibri" w:cs="Calibri"/>
          <w:lang w:val="en-GB" w:eastAsia="en-GB"/>
        </w:rPr>
        <w:t xml:space="preserve"> </w:t>
      </w:r>
      <w:r w:rsidR="00BC1B5A" w:rsidRPr="003C602E">
        <w:rPr>
          <w:lang w:val="en-GB"/>
        </w:rPr>
        <w:t>Day of General Discussion (DGD)</w:t>
      </w:r>
      <w:r w:rsidR="00AA4818">
        <w:rPr>
          <w:lang w:val="en-GB"/>
        </w:rPr>
        <w:t xml:space="preserve"> held by the Committee on the Rights of the Child</w:t>
      </w:r>
      <w:r w:rsidR="00BC1B5A" w:rsidRPr="003C602E">
        <w:rPr>
          <w:lang w:val="en-GB"/>
        </w:rPr>
        <w:t xml:space="preserve"> </w:t>
      </w:r>
      <w:r w:rsidR="00F12701">
        <w:rPr>
          <w:lang w:val="en-GB"/>
        </w:rPr>
        <w:t xml:space="preserve">(Committee) </w:t>
      </w:r>
      <w:r w:rsidR="008E790A">
        <w:rPr>
          <w:lang w:val="en-GB"/>
        </w:rPr>
        <w:t>in 2018</w:t>
      </w:r>
      <w:r>
        <w:rPr>
          <w:lang w:val="en-GB"/>
        </w:rPr>
        <w:t>,</w:t>
      </w:r>
      <w:r w:rsidR="008E790A">
        <w:rPr>
          <w:lang w:val="en-GB"/>
        </w:rPr>
        <w:t xml:space="preserve"> </w:t>
      </w:r>
      <w:r w:rsidR="00BE7AC9">
        <w:rPr>
          <w:lang w:val="en-GB"/>
        </w:rPr>
        <w:t>focused o</w:t>
      </w:r>
      <w:r w:rsidR="00BC1B5A" w:rsidRPr="003C602E">
        <w:rPr>
          <w:lang w:val="en-GB"/>
        </w:rPr>
        <w:t>n protecting and empowering children as human rights defenders</w:t>
      </w:r>
      <w:r w:rsidR="003C064A">
        <w:rPr>
          <w:lang w:val="en-GB"/>
        </w:rPr>
        <w:t>. C</w:t>
      </w:r>
      <w:r w:rsidR="00202334" w:rsidRPr="003C602E">
        <w:rPr>
          <w:lang w:val="en-GB"/>
        </w:rPr>
        <w:t>onsultations took place with more than 2</w:t>
      </w:r>
      <w:r w:rsidR="00ED042E">
        <w:rPr>
          <w:lang w:val="en-GB"/>
        </w:rPr>
        <w:t>,</w:t>
      </w:r>
      <w:r w:rsidR="00202334" w:rsidRPr="003C602E">
        <w:rPr>
          <w:lang w:val="en-GB"/>
        </w:rPr>
        <w:t xml:space="preserve">695 children in 53 countries from </w:t>
      </w:r>
      <w:r w:rsidR="00ED042E">
        <w:rPr>
          <w:lang w:val="en-GB"/>
        </w:rPr>
        <w:t>all</w:t>
      </w:r>
      <w:r w:rsidR="00202334" w:rsidRPr="003C602E">
        <w:rPr>
          <w:lang w:val="en-GB"/>
        </w:rPr>
        <w:t xml:space="preserve"> regions of the world</w:t>
      </w:r>
      <w:r w:rsidR="00AA4818">
        <w:rPr>
          <w:lang w:val="en-GB"/>
        </w:rPr>
        <w:t>, which helped identify gaps, barriers and challenges in the protection and empowerment of children human rights defenders</w:t>
      </w:r>
      <w:r w:rsidR="00CC3844">
        <w:rPr>
          <w:lang w:val="en-GB"/>
        </w:rPr>
        <w:t>, as well as a path forward</w:t>
      </w:r>
      <w:r w:rsidR="00AA4818">
        <w:rPr>
          <w:lang w:val="en-GB"/>
        </w:rPr>
        <w:t xml:space="preserve">. </w:t>
      </w:r>
    </w:p>
    <w:p w14:paraId="11E5D8D7" w14:textId="77777777" w:rsidR="00CC3844" w:rsidRDefault="00CC3844" w:rsidP="00B94F04">
      <w:pPr>
        <w:spacing w:after="0" w:line="240" w:lineRule="auto"/>
        <w:jc w:val="both"/>
        <w:rPr>
          <w:lang w:val="en-GB"/>
        </w:rPr>
      </w:pPr>
    </w:p>
    <w:p w14:paraId="39BC7437" w14:textId="7EAD557B" w:rsidR="001B43A1" w:rsidRPr="003C602E" w:rsidRDefault="008F6986" w:rsidP="00B94F04">
      <w:pPr>
        <w:spacing w:after="0" w:line="240" w:lineRule="auto"/>
        <w:jc w:val="both"/>
        <w:rPr>
          <w:lang w:val="en-GB"/>
        </w:rPr>
      </w:pPr>
      <w:r w:rsidRPr="003C602E">
        <w:rPr>
          <w:lang w:val="en-GB"/>
        </w:rPr>
        <w:t xml:space="preserve">Based on the outcomes of the DGD, </w:t>
      </w:r>
      <w:r w:rsidR="00AA5E0A" w:rsidRPr="003C602E">
        <w:rPr>
          <w:lang w:val="en-GB"/>
        </w:rPr>
        <w:t xml:space="preserve">this </w:t>
      </w:r>
      <w:r w:rsidRPr="003C602E">
        <w:rPr>
          <w:lang w:val="en-GB"/>
        </w:rPr>
        <w:t>submission</w:t>
      </w:r>
      <w:r w:rsidR="001B43A1" w:rsidRPr="003C602E">
        <w:rPr>
          <w:lang w:val="en-GB"/>
        </w:rPr>
        <w:t xml:space="preserve"> highlight</w:t>
      </w:r>
      <w:r w:rsidR="00941845">
        <w:rPr>
          <w:lang w:val="en-GB"/>
        </w:rPr>
        <w:t>s</w:t>
      </w:r>
      <w:r w:rsidR="001B43A1" w:rsidRPr="003C602E">
        <w:rPr>
          <w:lang w:val="en-GB"/>
        </w:rPr>
        <w:t xml:space="preserve"> risks and challenges to</w:t>
      </w:r>
      <w:r w:rsidRPr="003C602E">
        <w:rPr>
          <w:lang w:val="en-GB"/>
        </w:rPr>
        <w:t xml:space="preserve"> the rights of</w:t>
      </w:r>
      <w:r w:rsidR="001B43A1" w:rsidRPr="003C602E">
        <w:rPr>
          <w:lang w:val="en-GB"/>
        </w:rPr>
        <w:t xml:space="preserve"> </w:t>
      </w:r>
      <w:r w:rsidRPr="003C602E">
        <w:rPr>
          <w:lang w:val="en-GB"/>
        </w:rPr>
        <w:t>children acting</w:t>
      </w:r>
      <w:r w:rsidR="00E32BE7">
        <w:rPr>
          <w:lang w:val="en-GB"/>
        </w:rPr>
        <w:t xml:space="preserve"> or seeking to act</w:t>
      </w:r>
      <w:r w:rsidRPr="003C602E">
        <w:rPr>
          <w:lang w:val="en-GB"/>
        </w:rPr>
        <w:t xml:space="preserve"> as human rights defenders, </w:t>
      </w:r>
      <w:r w:rsidR="001B43A1" w:rsidRPr="003C602E">
        <w:rPr>
          <w:lang w:val="en-GB"/>
        </w:rPr>
        <w:t>as well as solutions and good practices</w:t>
      </w:r>
      <w:r w:rsidR="00D23FD5" w:rsidRPr="003C602E">
        <w:rPr>
          <w:lang w:val="en-GB"/>
        </w:rPr>
        <w:t xml:space="preserve"> identified </w:t>
      </w:r>
      <w:r w:rsidR="00AA5E0A" w:rsidRPr="003C602E">
        <w:rPr>
          <w:lang w:val="en-GB"/>
        </w:rPr>
        <w:t>for the realisation of the goals under review.</w:t>
      </w:r>
      <w:r w:rsidR="00AA5E0A">
        <w:rPr>
          <w:lang w:val="en-GB"/>
        </w:rPr>
        <w:t xml:space="preserve"> </w:t>
      </w:r>
    </w:p>
    <w:p w14:paraId="0DC34018" w14:textId="77777777" w:rsidR="008F6986" w:rsidRDefault="008F6986" w:rsidP="00B94F04">
      <w:pPr>
        <w:spacing w:after="0" w:line="240" w:lineRule="auto"/>
        <w:jc w:val="both"/>
        <w:rPr>
          <w:lang w:val="en-GB"/>
        </w:rPr>
      </w:pPr>
    </w:p>
    <w:p w14:paraId="167E9198" w14:textId="1C5EA92D" w:rsidR="00DA647E" w:rsidRDefault="00D23FD5" w:rsidP="00B94F04">
      <w:pPr>
        <w:spacing w:after="0" w:line="240" w:lineRule="auto"/>
        <w:jc w:val="both"/>
        <w:rPr>
          <w:b/>
          <w:lang w:val="en-GB"/>
        </w:rPr>
      </w:pPr>
      <w:r>
        <w:rPr>
          <w:b/>
          <w:lang w:val="en-GB"/>
        </w:rPr>
        <w:t xml:space="preserve">Quality </w:t>
      </w:r>
      <w:r w:rsidRPr="00474526">
        <w:rPr>
          <w:b/>
          <w:lang w:val="en-GB"/>
        </w:rPr>
        <w:t>e</w:t>
      </w:r>
      <w:r w:rsidR="00DA647E" w:rsidRPr="00474526">
        <w:rPr>
          <w:b/>
          <w:lang w:val="en-GB"/>
        </w:rPr>
        <w:t>ducation (Goal 4</w:t>
      </w:r>
      <w:r w:rsidR="00D139D9" w:rsidRPr="00474526">
        <w:rPr>
          <w:b/>
          <w:lang w:val="en-GB"/>
        </w:rPr>
        <w:t>)</w:t>
      </w:r>
    </w:p>
    <w:p w14:paraId="768CF218" w14:textId="77777777" w:rsidR="00B94F04" w:rsidRDefault="00B94F04" w:rsidP="00B94F04">
      <w:pPr>
        <w:spacing w:after="0" w:line="240" w:lineRule="auto"/>
        <w:jc w:val="both"/>
        <w:rPr>
          <w:lang w:val="en-GB"/>
        </w:rPr>
      </w:pPr>
    </w:p>
    <w:p w14:paraId="76E66200" w14:textId="553D6012" w:rsidR="008053F1" w:rsidRDefault="00E24D94" w:rsidP="00B94F04">
      <w:pPr>
        <w:spacing w:after="0" w:line="240" w:lineRule="auto"/>
        <w:jc w:val="both"/>
        <w:rPr>
          <w:lang w:val="en-GB"/>
        </w:rPr>
      </w:pPr>
      <w:r>
        <w:rPr>
          <w:lang w:val="en-GB"/>
        </w:rPr>
        <w:t>At the DGD, c</w:t>
      </w:r>
      <w:r w:rsidR="0015351C">
        <w:rPr>
          <w:lang w:val="en-GB"/>
        </w:rPr>
        <w:t>hildren expressed the importance</w:t>
      </w:r>
      <w:r w:rsidR="0015351C" w:rsidRPr="003568BC">
        <w:rPr>
          <w:lang w:val="en-GB"/>
        </w:rPr>
        <w:t xml:space="preserve"> </w:t>
      </w:r>
      <w:r w:rsidR="00F56F00">
        <w:rPr>
          <w:lang w:val="en-GB"/>
        </w:rPr>
        <w:t>of</w:t>
      </w:r>
      <w:r w:rsidR="00F56F00" w:rsidRPr="003568BC">
        <w:rPr>
          <w:lang w:val="en-GB"/>
        </w:rPr>
        <w:t xml:space="preserve"> </w:t>
      </w:r>
      <w:r w:rsidR="0015351C" w:rsidRPr="003568BC">
        <w:rPr>
          <w:lang w:val="en-GB"/>
        </w:rPr>
        <w:t>mov</w:t>
      </w:r>
      <w:r w:rsidR="00F56F00">
        <w:rPr>
          <w:lang w:val="en-GB"/>
        </w:rPr>
        <w:t>ing</w:t>
      </w:r>
      <w:r w:rsidR="0015351C" w:rsidRPr="003568BC">
        <w:rPr>
          <w:lang w:val="en-GB"/>
        </w:rPr>
        <w:t xml:space="preserve"> away from a “one</w:t>
      </w:r>
      <w:r w:rsidR="00A639DD">
        <w:rPr>
          <w:lang w:val="en-GB"/>
        </w:rPr>
        <w:t>-</w:t>
      </w:r>
      <w:r w:rsidR="0015351C" w:rsidRPr="003568BC">
        <w:rPr>
          <w:lang w:val="en-GB"/>
        </w:rPr>
        <w:t>size</w:t>
      </w:r>
      <w:r w:rsidR="00A639DD">
        <w:rPr>
          <w:lang w:val="en-GB"/>
        </w:rPr>
        <w:t>-</w:t>
      </w:r>
      <w:r w:rsidR="0015351C" w:rsidRPr="003568BC">
        <w:rPr>
          <w:lang w:val="en-GB"/>
        </w:rPr>
        <w:t>fits</w:t>
      </w:r>
      <w:r w:rsidR="00A639DD">
        <w:rPr>
          <w:lang w:val="en-GB"/>
        </w:rPr>
        <w:t>-</w:t>
      </w:r>
      <w:r w:rsidR="0015351C" w:rsidRPr="003568BC">
        <w:rPr>
          <w:lang w:val="en-GB"/>
        </w:rPr>
        <w:t xml:space="preserve">all” approach </w:t>
      </w:r>
      <w:r w:rsidR="00A639DD">
        <w:rPr>
          <w:lang w:val="en-GB"/>
        </w:rPr>
        <w:t xml:space="preserve">to </w:t>
      </w:r>
      <w:r w:rsidR="0015351C" w:rsidRPr="003568BC">
        <w:rPr>
          <w:lang w:val="en-GB"/>
        </w:rPr>
        <w:t>education</w:t>
      </w:r>
      <w:r>
        <w:rPr>
          <w:lang w:val="en-GB"/>
        </w:rPr>
        <w:t xml:space="preserve"> and</w:t>
      </w:r>
      <w:r w:rsidR="004020F9">
        <w:rPr>
          <w:lang w:val="en-GB"/>
        </w:rPr>
        <w:t xml:space="preserve"> the </w:t>
      </w:r>
      <w:r w:rsidR="00E227B8">
        <w:rPr>
          <w:lang w:val="en-GB"/>
        </w:rPr>
        <w:t xml:space="preserve">need for </w:t>
      </w:r>
      <w:r w:rsidR="00D15590">
        <w:rPr>
          <w:lang w:val="en-GB"/>
        </w:rPr>
        <w:t>education</w:t>
      </w:r>
      <w:r w:rsidR="00E227B8">
        <w:rPr>
          <w:lang w:val="en-GB"/>
        </w:rPr>
        <w:t xml:space="preserve"> </w:t>
      </w:r>
      <w:r w:rsidR="004020F9">
        <w:rPr>
          <w:lang w:val="en-GB"/>
        </w:rPr>
        <w:t>to</w:t>
      </w:r>
      <w:r>
        <w:rPr>
          <w:lang w:val="en-GB"/>
        </w:rPr>
        <w:t xml:space="preserve"> be understood as a life-long process. </w:t>
      </w:r>
      <w:r w:rsidR="000E1CAF">
        <w:rPr>
          <w:lang w:val="en-GB"/>
        </w:rPr>
        <w:t>According to children, most</w:t>
      </w:r>
      <w:r>
        <w:rPr>
          <w:lang w:val="en-GB"/>
        </w:rPr>
        <w:t xml:space="preserve"> of the time, the </w:t>
      </w:r>
      <w:r w:rsidR="004020F9">
        <w:rPr>
          <w:lang w:val="en-GB"/>
        </w:rPr>
        <w:t>education</w:t>
      </w:r>
      <w:r>
        <w:rPr>
          <w:lang w:val="en-GB"/>
        </w:rPr>
        <w:t xml:space="preserve"> system does not include </w:t>
      </w:r>
      <w:r w:rsidR="00A639DD">
        <w:rPr>
          <w:lang w:val="en-GB"/>
        </w:rPr>
        <w:t xml:space="preserve">child </w:t>
      </w:r>
      <w:r w:rsidR="004020F9">
        <w:rPr>
          <w:lang w:val="en-GB"/>
        </w:rPr>
        <w:t>participation</w:t>
      </w:r>
      <w:r w:rsidR="00E227B8">
        <w:rPr>
          <w:lang w:val="en-GB"/>
        </w:rPr>
        <w:t xml:space="preserve"> and</w:t>
      </w:r>
      <w:r w:rsidR="003568BC" w:rsidRPr="003568BC">
        <w:rPr>
          <w:lang w:val="en-GB"/>
        </w:rPr>
        <w:t xml:space="preserve"> expect</w:t>
      </w:r>
      <w:r w:rsidR="00E32BE7">
        <w:rPr>
          <w:lang w:val="en-GB"/>
        </w:rPr>
        <w:t>s</w:t>
      </w:r>
      <w:r w:rsidR="003568BC" w:rsidRPr="003568BC">
        <w:rPr>
          <w:lang w:val="en-GB"/>
        </w:rPr>
        <w:t xml:space="preserve"> </w:t>
      </w:r>
      <w:r w:rsidR="00A639DD">
        <w:rPr>
          <w:lang w:val="en-GB"/>
        </w:rPr>
        <w:t xml:space="preserve">them </w:t>
      </w:r>
      <w:r w:rsidR="003568BC" w:rsidRPr="003568BC">
        <w:rPr>
          <w:lang w:val="en-GB"/>
        </w:rPr>
        <w:t>to be passive recipients</w:t>
      </w:r>
      <w:r w:rsidR="00E227B8">
        <w:rPr>
          <w:lang w:val="en-GB"/>
        </w:rPr>
        <w:t>;</w:t>
      </w:r>
      <w:r w:rsidR="003568BC" w:rsidRPr="003568BC">
        <w:rPr>
          <w:lang w:val="en-GB"/>
        </w:rPr>
        <w:t xml:space="preserve"> </w:t>
      </w:r>
      <w:r w:rsidR="004020F9">
        <w:rPr>
          <w:lang w:val="en-GB"/>
        </w:rPr>
        <w:t xml:space="preserve">schools </w:t>
      </w:r>
      <w:r w:rsidR="00E227B8">
        <w:rPr>
          <w:lang w:val="en-GB"/>
        </w:rPr>
        <w:t xml:space="preserve">do not help children solve conflict and bullying and </w:t>
      </w:r>
      <w:r w:rsidR="003568BC" w:rsidRPr="003568BC">
        <w:rPr>
          <w:lang w:val="en-GB"/>
        </w:rPr>
        <w:t>continue to rely on punitive measures for education and discipline</w:t>
      </w:r>
      <w:r w:rsidR="000E1CAF">
        <w:rPr>
          <w:lang w:val="en-GB"/>
        </w:rPr>
        <w:t>.</w:t>
      </w:r>
      <w:r w:rsidR="004020F9">
        <w:rPr>
          <w:lang w:val="en-GB"/>
        </w:rPr>
        <w:t xml:space="preserve"> </w:t>
      </w:r>
      <w:r w:rsidR="00941845">
        <w:rPr>
          <w:rFonts w:ascii="Calibri" w:eastAsia="Times New Roman" w:hAnsi="Calibri" w:cs="Calibri"/>
          <w:lang w:val="en-GB" w:eastAsia="en-GB"/>
        </w:rPr>
        <w:t>G</w:t>
      </w:r>
      <w:r w:rsidR="00941845" w:rsidRPr="007B4CD2">
        <w:rPr>
          <w:rFonts w:ascii="Calibri" w:eastAsia="Times New Roman" w:hAnsi="Calibri" w:cs="Calibri"/>
          <w:lang w:val="en-GB" w:eastAsia="en-GB"/>
        </w:rPr>
        <w:t>irls who want to access information face resistance in many occasions due to societal norms that prioritize education for boys</w:t>
      </w:r>
      <w:r w:rsidR="00941845">
        <w:rPr>
          <w:rFonts w:ascii="Calibri" w:eastAsia="Times New Roman" w:hAnsi="Calibri" w:cs="Calibri"/>
          <w:lang w:val="en-GB" w:eastAsia="en-GB"/>
        </w:rPr>
        <w:t xml:space="preserve"> </w:t>
      </w:r>
      <w:r w:rsidR="00941845" w:rsidRPr="00DB1C6F">
        <w:rPr>
          <w:rFonts w:ascii="Calibri" w:eastAsia="Times New Roman" w:hAnsi="Calibri" w:cs="Calibri"/>
          <w:lang w:val="en-GB" w:eastAsia="en-GB"/>
        </w:rPr>
        <w:t>(</w:t>
      </w:r>
      <w:r w:rsidR="00A639DD">
        <w:rPr>
          <w:rFonts w:ascii="Calibri" w:eastAsia="Times New Roman" w:hAnsi="Calibri" w:cs="Calibri"/>
          <w:lang w:val="en-GB" w:eastAsia="en-GB"/>
        </w:rPr>
        <w:t xml:space="preserve">see </w:t>
      </w:r>
      <w:r w:rsidR="00426857" w:rsidRPr="00DB1C6F">
        <w:rPr>
          <w:rFonts w:ascii="Calibri" w:eastAsia="Times New Roman" w:hAnsi="Calibri" w:cs="Calibri"/>
          <w:color w:val="000000" w:themeColor="text1"/>
          <w:lang w:val="en-GB" w:eastAsia="en-GB"/>
        </w:rPr>
        <w:t>T</w:t>
      </w:r>
      <w:r w:rsidR="00941845" w:rsidRPr="00DB1C6F">
        <w:rPr>
          <w:rFonts w:ascii="Calibri" w:eastAsia="Times New Roman" w:hAnsi="Calibri" w:cs="Calibri"/>
          <w:color w:val="000000" w:themeColor="text1"/>
          <w:lang w:val="en-GB" w:eastAsia="en-GB"/>
        </w:rPr>
        <w:t xml:space="preserve">arget </w:t>
      </w:r>
      <w:r w:rsidR="00941845" w:rsidRPr="00DB1C6F">
        <w:rPr>
          <w:rFonts w:ascii="Calibri" w:eastAsia="Times New Roman" w:hAnsi="Calibri" w:cs="Calibri"/>
          <w:lang w:val="en-GB" w:eastAsia="en-GB"/>
        </w:rPr>
        <w:t>4</w:t>
      </w:r>
      <w:r w:rsidR="00941845">
        <w:rPr>
          <w:rFonts w:ascii="Calibri" w:eastAsia="Times New Roman" w:hAnsi="Calibri" w:cs="Calibri"/>
          <w:lang w:val="en-GB" w:eastAsia="en-GB"/>
        </w:rPr>
        <w:t>.5).</w:t>
      </w:r>
      <w:r w:rsidR="00941845">
        <w:rPr>
          <w:rStyle w:val="FootnoteReference"/>
          <w:rFonts w:ascii="Calibri" w:eastAsia="Times New Roman" w:hAnsi="Calibri" w:cs="Calibri"/>
          <w:lang w:val="en-GB" w:eastAsia="en-GB"/>
        </w:rPr>
        <w:footnoteReference w:id="1"/>
      </w:r>
      <w:r w:rsidR="00941845">
        <w:rPr>
          <w:lang w:val="en-GB"/>
        </w:rPr>
        <w:t xml:space="preserve"> </w:t>
      </w:r>
    </w:p>
    <w:p w14:paraId="6B2D38AB" w14:textId="77777777" w:rsidR="008053F1" w:rsidRDefault="008053F1" w:rsidP="00B94F04">
      <w:pPr>
        <w:spacing w:after="0" w:line="240" w:lineRule="auto"/>
        <w:jc w:val="both"/>
        <w:rPr>
          <w:lang w:val="en-GB"/>
        </w:rPr>
      </w:pPr>
    </w:p>
    <w:p w14:paraId="2BDB098B" w14:textId="373E6369" w:rsidR="005347DF" w:rsidRDefault="004020F9" w:rsidP="00B94F04">
      <w:pPr>
        <w:spacing w:after="0" w:line="240" w:lineRule="auto"/>
        <w:jc w:val="both"/>
        <w:rPr>
          <w:lang w:val="en-GB"/>
        </w:rPr>
      </w:pPr>
      <w:r w:rsidRPr="003568BC">
        <w:rPr>
          <w:lang w:val="en-GB"/>
        </w:rPr>
        <w:t>Participants agreed that schools must be a safe space for children to realize their human rights</w:t>
      </w:r>
      <w:r>
        <w:rPr>
          <w:lang w:val="en-GB"/>
        </w:rPr>
        <w:t xml:space="preserve">, </w:t>
      </w:r>
      <w:r w:rsidRPr="003568BC">
        <w:rPr>
          <w:lang w:val="en-GB"/>
        </w:rPr>
        <w:t>promote effective child participation</w:t>
      </w:r>
      <w:r>
        <w:rPr>
          <w:lang w:val="en-GB"/>
        </w:rPr>
        <w:t>,</w:t>
      </w:r>
      <w:r w:rsidRPr="003568BC">
        <w:rPr>
          <w:lang w:val="en-GB"/>
        </w:rPr>
        <w:t xml:space="preserve"> </w:t>
      </w:r>
      <w:r>
        <w:rPr>
          <w:lang w:val="en-GB"/>
        </w:rPr>
        <w:t>and systematically incorporate</w:t>
      </w:r>
      <w:r w:rsidRPr="003568BC">
        <w:rPr>
          <w:lang w:val="en-GB"/>
        </w:rPr>
        <w:t xml:space="preserve"> </w:t>
      </w:r>
      <w:r>
        <w:rPr>
          <w:lang w:val="en-GB"/>
        </w:rPr>
        <w:t>human</w:t>
      </w:r>
      <w:r w:rsidRPr="003568BC">
        <w:rPr>
          <w:lang w:val="en-GB"/>
        </w:rPr>
        <w:t xml:space="preserve"> rights education and training</w:t>
      </w:r>
      <w:r w:rsidR="00F76F0F">
        <w:rPr>
          <w:lang w:val="en-GB"/>
        </w:rPr>
        <w:t xml:space="preserve"> (as per target 4.7 and 4.A)</w:t>
      </w:r>
      <w:r w:rsidRPr="003568BC">
        <w:rPr>
          <w:lang w:val="en-GB"/>
        </w:rPr>
        <w:t>.</w:t>
      </w:r>
      <w:r w:rsidR="005347DF">
        <w:rPr>
          <w:lang w:val="en-GB"/>
        </w:rPr>
        <w:t xml:space="preserve"> </w:t>
      </w:r>
    </w:p>
    <w:p w14:paraId="6F78869D" w14:textId="7DD11C35" w:rsidR="006772A0" w:rsidRDefault="006772A0" w:rsidP="00B94F04">
      <w:pPr>
        <w:spacing w:after="0" w:line="240" w:lineRule="auto"/>
        <w:jc w:val="both"/>
        <w:rPr>
          <w:lang w:val="en-GB"/>
        </w:rPr>
      </w:pPr>
    </w:p>
    <w:p w14:paraId="56152A39" w14:textId="04D5DE91" w:rsidR="006A60AC" w:rsidRPr="006A60AC" w:rsidRDefault="006A60AC" w:rsidP="006A60AC">
      <w:pPr>
        <w:spacing w:after="0" w:line="240" w:lineRule="auto"/>
        <w:jc w:val="both"/>
        <w:rPr>
          <w:lang w:val="en-GB"/>
        </w:rPr>
      </w:pPr>
      <w:r>
        <w:rPr>
          <w:lang w:val="en-GB"/>
        </w:rPr>
        <w:lastRenderedPageBreak/>
        <w:t>Recent studies have shown tha</w:t>
      </w:r>
      <w:r w:rsidR="002C7816">
        <w:rPr>
          <w:lang w:val="en-GB"/>
        </w:rPr>
        <w:t xml:space="preserve">t human </w:t>
      </w:r>
      <w:r w:rsidRPr="00197E76">
        <w:rPr>
          <w:lang w:val="en-GB"/>
        </w:rPr>
        <w:t xml:space="preserve">rights educators working with children </w:t>
      </w:r>
      <w:r>
        <w:rPr>
          <w:lang w:val="en-US"/>
        </w:rPr>
        <w:t>usually</w:t>
      </w:r>
      <w:r w:rsidRPr="00197E76">
        <w:rPr>
          <w:lang w:val="en-GB"/>
        </w:rPr>
        <w:t xml:space="preserve"> emphasise the ethical and moral aspects of children’s rights over the legal components,</w:t>
      </w:r>
      <w:r>
        <w:rPr>
          <w:lang w:val="en-GB"/>
        </w:rPr>
        <w:t xml:space="preserve"> hampering children’s ability to know how to fully exercise their rights</w:t>
      </w:r>
      <w:r w:rsidR="000155D3">
        <w:rPr>
          <w:lang w:val="en-GB"/>
        </w:rPr>
        <w:t xml:space="preserve"> and act as human rights defenders</w:t>
      </w:r>
      <w:r>
        <w:rPr>
          <w:lang w:val="en-GB"/>
        </w:rPr>
        <w:t>. F</w:t>
      </w:r>
      <w:r w:rsidRPr="006772A0">
        <w:rPr>
          <w:lang w:val="en-GB"/>
        </w:rPr>
        <w:t xml:space="preserve">or </w:t>
      </w:r>
      <w:r>
        <w:rPr>
          <w:lang w:val="en-GB"/>
        </w:rPr>
        <w:t>human rights education</w:t>
      </w:r>
      <w:r w:rsidRPr="006772A0">
        <w:rPr>
          <w:lang w:val="en-GB"/>
        </w:rPr>
        <w:t xml:space="preserve"> to achieve its core purpose, it must enable children to identify and challenge breaches of rights in school and elsewhere. To do so, </w:t>
      </w:r>
      <w:r>
        <w:rPr>
          <w:lang w:val="en-GB"/>
        </w:rPr>
        <w:t xml:space="preserve">it is fundamental to teach them </w:t>
      </w:r>
      <w:r w:rsidRPr="006772A0">
        <w:rPr>
          <w:lang w:val="en-GB"/>
        </w:rPr>
        <w:t xml:space="preserve">knowledge of </w:t>
      </w:r>
      <w:r>
        <w:rPr>
          <w:lang w:val="en-GB"/>
        </w:rPr>
        <w:t xml:space="preserve">the </w:t>
      </w:r>
      <w:r w:rsidRPr="006772A0">
        <w:rPr>
          <w:lang w:val="en-GB"/>
        </w:rPr>
        <w:t>law, both domestic and international</w:t>
      </w:r>
      <w:r>
        <w:rPr>
          <w:lang w:val="en-GB"/>
        </w:rPr>
        <w:t>.</w:t>
      </w:r>
      <w:r>
        <w:rPr>
          <w:rStyle w:val="FootnoteReference"/>
          <w:lang w:val="en-US"/>
        </w:rPr>
        <w:footnoteReference w:id="2"/>
      </w:r>
    </w:p>
    <w:p w14:paraId="0A0D3529" w14:textId="77777777" w:rsidR="006A60AC" w:rsidRDefault="006A60AC" w:rsidP="00B94F04">
      <w:pPr>
        <w:spacing w:after="0" w:line="240" w:lineRule="auto"/>
        <w:jc w:val="both"/>
        <w:rPr>
          <w:lang w:val="en-GB"/>
        </w:rPr>
      </w:pPr>
    </w:p>
    <w:p w14:paraId="4F87B583" w14:textId="5C4A248E" w:rsidR="00AC250B" w:rsidRPr="006A60AC" w:rsidRDefault="006A60AC" w:rsidP="00AC250B">
      <w:pPr>
        <w:jc w:val="both"/>
        <w:rPr>
          <w:lang w:val="en-GB"/>
        </w:rPr>
      </w:pPr>
      <w:r>
        <w:rPr>
          <w:lang w:val="en-GB"/>
        </w:rPr>
        <w:t>Additionally, c</w:t>
      </w:r>
      <w:r w:rsidR="00E24D94" w:rsidRPr="00E24D94">
        <w:rPr>
          <w:lang w:val="en-GB"/>
        </w:rPr>
        <w:t xml:space="preserve">hild rights education should especially reach </w:t>
      </w:r>
      <w:r w:rsidR="00F56F00">
        <w:rPr>
          <w:lang w:val="en-GB"/>
        </w:rPr>
        <w:t xml:space="preserve">specific groups of children </w:t>
      </w:r>
      <w:r w:rsidR="00F56F00" w:rsidRPr="00C86332">
        <w:rPr>
          <w:lang w:val="en-GB"/>
        </w:rPr>
        <w:t>(e.g., those in detention</w:t>
      </w:r>
      <w:r>
        <w:rPr>
          <w:lang w:val="en-GB"/>
        </w:rPr>
        <w:t xml:space="preserve">, </w:t>
      </w:r>
      <w:r w:rsidR="00F56F00" w:rsidRPr="00C86332">
        <w:rPr>
          <w:lang w:val="en-GB"/>
        </w:rPr>
        <w:t>indigenous children</w:t>
      </w:r>
      <w:r>
        <w:rPr>
          <w:lang w:val="en-GB"/>
        </w:rPr>
        <w:t xml:space="preserve"> or children with disabilities</w:t>
      </w:r>
      <w:r w:rsidR="00F56F00" w:rsidRPr="00C86332">
        <w:rPr>
          <w:lang w:val="en-GB"/>
        </w:rPr>
        <w:t xml:space="preserve">) </w:t>
      </w:r>
      <w:r w:rsidR="00F56F00">
        <w:rPr>
          <w:lang w:val="en-GB"/>
        </w:rPr>
        <w:t xml:space="preserve">and </w:t>
      </w:r>
      <w:r>
        <w:rPr>
          <w:lang w:val="en-GB"/>
        </w:rPr>
        <w:t xml:space="preserve">children </w:t>
      </w:r>
      <w:r w:rsidR="00F56F00">
        <w:rPr>
          <w:lang w:val="en-GB"/>
        </w:rPr>
        <w:t xml:space="preserve">in vulnerable contexts </w:t>
      </w:r>
      <w:r w:rsidR="00F56F00" w:rsidRPr="00C86332">
        <w:rPr>
          <w:lang w:val="en-GB"/>
        </w:rPr>
        <w:t xml:space="preserve">(such as </w:t>
      </w:r>
      <w:r>
        <w:rPr>
          <w:lang w:val="en-GB"/>
        </w:rPr>
        <w:t xml:space="preserve">situations of </w:t>
      </w:r>
      <w:r w:rsidR="00F56F00" w:rsidRPr="00C86332">
        <w:rPr>
          <w:lang w:val="en-GB"/>
        </w:rPr>
        <w:t xml:space="preserve">conflict, forced migration </w:t>
      </w:r>
      <w:r>
        <w:rPr>
          <w:lang w:val="en-GB"/>
        </w:rPr>
        <w:t>or</w:t>
      </w:r>
      <w:r w:rsidR="00F56F00" w:rsidRPr="00C86332">
        <w:rPr>
          <w:lang w:val="en-GB"/>
        </w:rPr>
        <w:t xml:space="preserve"> extreme poverty)</w:t>
      </w:r>
      <w:r w:rsidR="00F56F00">
        <w:rPr>
          <w:lang w:val="en-GB"/>
        </w:rPr>
        <w:t xml:space="preserve"> </w:t>
      </w:r>
      <w:r w:rsidR="00E24D94" w:rsidRPr="00E24D94">
        <w:rPr>
          <w:lang w:val="en-GB"/>
        </w:rPr>
        <w:t>and be elaborated in accessible formats</w:t>
      </w:r>
      <w:r w:rsidR="004020F9">
        <w:rPr>
          <w:lang w:val="en-GB"/>
        </w:rPr>
        <w:t>.</w:t>
      </w:r>
      <w:r w:rsidR="00E227B8">
        <w:rPr>
          <w:rStyle w:val="FootnoteReference"/>
          <w:lang w:val="en-GB"/>
        </w:rPr>
        <w:footnoteReference w:id="3"/>
      </w:r>
      <w:r w:rsidR="008053F1">
        <w:rPr>
          <w:lang w:val="en-GB"/>
        </w:rPr>
        <w:t xml:space="preserve"> </w:t>
      </w:r>
      <w:r w:rsidR="00E227B8">
        <w:rPr>
          <w:lang w:val="en-GB"/>
        </w:rPr>
        <w:t>As a good practice,</w:t>
      </w:r>
      <w:r w:rsidR="0015351C">
        <w:rPr>
          <w:lang w:val="en-GB"/>
        </w:rPr>
        <w:t xml:space="preserve"> </w:t>
      </w:r>
      <w:r w:rsidR="003568BC" w:rsidRPr="003568BC">
        <w:rPr>
          <w:lang w:val="en-GB"/>
        </w:rPr>
        <w:t>the Palestinian Children’s Council is providing reports to the Ministry of Higher Education in Palestine on suitable educational environments for children.</w:t>
      </w:r>
      <w:r w:rsidR="00E227B8">
        <w:rPr>
          <w:rStyle w:val="FootnoteReference"/>
          <w:lang w:val="en-GB"/>
        </w:rPr>
        <w:footnoteReference w:id="4"/>
      </w:r>
      <w:r w:rsidR="00AC250B" w:rsidRPr="006A60AC">
        <w:rPr>
          <w:lang w:val="en-GB"/>
        </w:rPr>
        <w:t xml:space="preserve"> </w:t>
      </w:r>
    </w:p>
    <w:p w14:paraId="76D9972C" w14:textId="597E96CC" w:rsidR="008E790A" w:rsidRDefault="008E790A" w:rsidP="00B94F04">
      <w:pPr>
        <w:spacing w:after="0" w:line="240" w:lineRule="auto"/>
        <w:jc w:val="both"/>
        <w:rPr>
          <w:lang w:val="en-GB"/>
        </w:rPr>
      </w:pPr>
    </w:p>
    <w:p w14:paraId="178E8FE5" w14:textId="77777777" w:rsidR="00B94F04" w:rsidRPr="00CC3844" w:rsidRDefault="00B94F04" w:rsidP="00B94F04">
      <w:pPr>
        <w:spacing w:after="0" w:line="240" w:lineRule="auto"/>
        <w:jc w:val="both"/>
        <w:rPr>
          <w:lang w:val="en-GB"/>
        </w:rPr>
      </w:pPr>
    </w:p>
    <w:p w14:paraId="552EAD5A" w14:textId="53330F45" w:rsidR="00474526" w:rsidRDefault="00D23FD5" w:rsidP="00B94F04">
      <w:pPr>
        <w:spacing w:after="0" w:line="240" w:lineRule="auto"/>
        <w:jc w:val="both"/>
        <w:rPr>
          <w:b/>
          <w:lang w:val="en-GB"/>
        </w:rPr>
      </w:pPr>
      <w:r>
        <w:rPr>
          <w:b/>
          <w:lang w:val="en-GB"/>
        </w:rPr>
        <w:t xml:space="preserve">Reduced </w:t>
      </w:r>
      <w:r w:rsidRPr="00474526">
        <w:rPr>
          <w:b/>
          <w:lang w:val="en-GB"/>
        </w:rPr>
        <w:t>inequalities (Goal 10</w:t>
      </w:r>
      <w:r w:rsidR="00474526" w:rsidRPr="00474526">
        <w:rPr>
          <w:b/>
          <w:lang w:val="en-GB"/>
        </w:rPr>
        <w:t>)</w:t>
      </w:r>
    </w:p>
    <w:p w14:paraId="217B1839" w14:textId="77777777" w:rsidR="00426857" w:rsidRDefault="00426857" w:rsidP="00B94F04">
      <w:pPr>
        <w:spacing w:after="0" w:line="240" w:lineRule="auto"/>
        <w:jc w:val="both"/>
        <w:rPr>
          <w:lang w:val="en-GB"/>
        </w:rPr>
      </w:pPr>
    </w:p>
    <w:p w14:paraId="7BEA441E" w14:textId="21C6F184" w:rsidR="00AA4818" w:rsidRDefault="0049741E" w:rsidP="00B94F04">
      <w:pPr>
        <w:spacing w:after="0" w:line="240" w:lineRule="auto"/>
        <w:jc w:val="both"/>
        <w:rPr>
          <w:lang w:val="en-GB"/>
        </w:rPr>
      </w:pPr>
      <w:r w:rsidRPr="00B94F04">
        <w:rPr>
          <w:lang w:val="en-GB"/>
        </w:rPr>
        <w:t>According to children, adults do not see them as competent and, due to cultural factors, children’s views are not respected.</w:t>
      </w:r>
      <w:r w:rsidR="00B94F04">
        <w:rPr>
          <w:rStyle w:val="FootnoteReference"/>
          <w:rFonts w:ascii="Times New Roman" w:hAnsi="Times New Roman" w:cs="Times New Roman"/>
          <w:sz w:val="24"/>
          <w:szCs w:val="24"/>
          <w:lang w:val="en-US"/>
        </w:rPr>
        <w:footnoteReference w:id="5"/>
      </w:r>
      <w:r w:rsidR="00B94F04">
        <w:rPr>
          <w:rFonts w:ascii="Times New Roman" w:hAnsi="Times New Roman" w:cs="Times New Roman"/>
          <w:sz w:val="24"/>
          <w:szCs w:val="24"/>
          <w:lang w:val="en-US"/>
        </w:rPr>
        <w:t xml:space="preserve"> </w:t>
      </w:r>
      <w:r w:rsidR="00CD4132" w:rsidRPr="00DB1C6F">
        <w:rPr>
          <w:lang w:val="en-GB"/>
        </w:rPr>
        <w:t>Although adults may sometimes afford children the opportunity to speak, it’s rare for children</w:t>
      </w:r>
      <w:r w:rsidR="002C7816">
        <w:rPr>
          <w:lang w:val="en-GB"/>
        </w:rPr>
        <w:t>’</w:t>
      </w:r>
      <w:r w:rsidR="00CD4132" w:rsidRPr="00DB1C6F">
        <w:rPr>
          <w:lang w:val="en-GB"/>
        </w:rPr>
        <w:t>s opinions to be taken into account and influence policies, as children “are still not viewed at the same level as adults”.</w:t>
      </w:r>
      <w:r w:rsidR="00DB1C6F" w:rsidRPr="00DB1C6F">
        <w:rPr>
          <w:rStyle w:val="FootnoteReference"/>
          <w:lang w:val="en-GB"/>
        </w:rPr>
        <w:footnoteReference w:id="6"/>
      </w:r>
      <w:r w:rsidR="00CD4132" w:rsidRPr="00DB1C6F">
        <w:rPr>
          <w:lang w:val="en-GB"/>
        </w:rPr>
        <w:t xml:space="preserve">  </w:t>
      </w:r>
      <w:r w:rsidR="00D15590" w:rsidRPr="00D15590">
        <w:rPr>
          <w:lang w:val="en-GB"/>
        </w:rPr>
        <w:t xml:space="preserve">Children should have </w:t>
      </w:r>
      <w:r w:rsidR="00D15590" w:rsidRPr="00B94F04">
        <w:rPr>
          <w:lang w:val="en-GB"/>
        </w:rPr>
        <w:t>equal opportunities</w:t>
      </w:r>
      <w:r w:rsidR="00D15590" w:rsidRPr="00D15590">
        <w:rPr>
          <w:lang w:val="en-GB"/>
        </w:rPr>
        <w:t xml:space="preserve"> to become and act as human rights defenders if they wish to do so,</w:t>
      </w:r>
      <w:r w:rsidR="00D15590">
        <w:rPr>
          <w:lang w:val="en-GB"/>
        </w:rPr>
        <w:t xml:space="preserve"> </w:t>
      </w:r>
      <w:r w:rsidR="00D15590" w:rsidRPr="00D15590">
        <w:rPr>
          <w:lang w:val="en-GB"/>
        </w:rPr>
        <w:t xml:space="preserve">and </w:t>
      </w:r>
      <w:r w:rsidR="00CD4132">
        <w:rPr>
          <w:lang w:val="en-GB"/>
        </w:rPr>
        <w:t xml:space="preserve">they </w:t>
      </w:r>
      <w:r w:rsidR="00D15590" w:rsidRPr="00D15590">
        <w:rPr>
          <w:lang w:val="en-GB"/>
        </w:rPr>
        <w:t>should not be discriminated against because of their</w:t>
      </w:r>
      <w:r w:rsidR="00474526">
        <w:rPr>
          <w:lang w:val="en-GB"/>
        </w:rPr>
        <w:t xml:space="preserve"> age,</w:t>
      </w:r>
      <w:r w:rsidR="00D15590" w:rsidRPr="00D15590">
        <w:rPr>
          <w:lang w:val="en-GB"/>
        </w:rPr>
        <w:t xml:space="preserve"> race, gender, sexual orientation and gender identity, abilities, religion, opinion, background, or because of their actions as defenders</w:t>
      </w:r>
      <w:r w:rsidR="00DB1C6F">
        <w:rPr>
          <w:lang w:val="en-GB"/>
        </w:rPr>
        <w:t>.</w:t>
      </w:r>
      <w:r w:rsidR="00DB1C6F">
        <w:rPr>
          <w:rStyle w:val="FootnoteReference"/>
          <w:lang w:val="en-GB"/>
        </w:rPr>
        <w:footnoteReference w:id="7"/>
      </w:r>
      <w:r w:rsidR="00DB1C6F">
        <w:rPr>
          <w:lang w:val="en-GB"/>
        </w:rPr>
        <w:t xml:space="preserve"> </w:t>
      </w:r>
      <w:r w:rsidR="00D15590" w:rsidRPr="00D15590">
        <w:rPr>
          <w:lang w:val="en-GB"/>
        </w:rPr>
        <w:t>Additional empowerment and protection measures should be provided for children in particularly vulnerable situations, such as children with disabilities, indigenous children, refugee and migrant children</w:t>
      </w:r>
      <w:r w:rsidR="00E32BE7">
        <w:rPr>
          <w:lang w:val="en-GB"/>
        </w:rPr>
        <w:t xml:space="preserve"> (as per Target 10.7)</w:t>
      </w:r>
      <w:r w:rsidR="00D15590" w:rsidRPr="00D15590">
        <w:rPr>
          <w:lang w:val="en-GB"/>
        </w:rPr>
        <w:t xml:space="preserve">,  children deprived of liberty, children in alternative care, children in conflict with </w:t>
      </w:r>
      <w:r w:rsidR="006F521E">
        <w:rPr>
          <w:lang w:val="en-GB"/>
        </w:rPr>
        <w:t xml:space="preserve">the </w:t>
      </w:r>
      <w:r w:rsidR="00D15590" w:rsidRPr="00D15590">
        <w:rPr>
          <w:lang w:val="en-GB"/>
        </w:rPr>
        <w:t>law</w:t>
      </w:r>
      <w:r w:rsidR="006F521E">
        <w:rPr>
          <w:lang w:val="en-GB"/>
        </w:rPr>
        <w:t>,</w:t>
      </w:r>
      <w:r w:rsidR="00D15590" w:rsidRPr="00D15590">
        <w:rPr>
          <w:lang w:val="en-GB"/>
        </w:rPr>
        <w:t xml:space="preserve"> and children in conflict situations.</w:t>
      </w:r>
      <w:r w:rsidR="00D15590">
        <w:rPr>
          <w:rStyle w:val="FootnoteReference"/>
          <w:lang w:val="en-GB"/>
        </w:rPr>
        <w:footnoteReference w:id="8"/>
      </w:r>
    </w:p>
    <w:p w14:paraId="7C8159CF" w14:textId="77777777" w:rsidR="00B94F04" w:rsidRPr="00B94F04" w:rsidRDefault="00B94F04" w:rsidP="00B94F04">
      <w:pPr>
        <w:spacing w:after="0" w:line="240" w:lineRule="auto"/>
        <w:jc w:val="both"/>
        <w:rPr>
          <w:rFonts w:ascii="Times New Roman" w:hAnsi="Times New Roman" w:cs="Times New Roman"/>
          <w:sz w:val="24"/>
          <w:szCs w:val="24"/>
          <w:lang w:val="en-US"/>
        </w:rPr>
      </w:pPr>
    </w:p>
    <w:p w14:paraId="65442802" w14:textId="095F4F8A" w:rsidR="00D13091" w:rsidRDefault="00AA5E0A" w:rsidP="00B94F04">
      <w:pPr>
        <w:spacing w:after="0" w:line="240" w:lineRule="auto"/>
        <w:jc w:val="both"/>
        <w:rPr>
          <w:b/>
          <w:lang w:val="en-GB"/>
        </w:rPr>
      </w:pPr>
      <w:r w:rsidRPr="00D139D9">
        <w:rPr>
          <w:b/>
          <w:lang w:val="en-GB"/>
        </w:rPr>
        <w:t xml:space="preserve">Climate </w:t>
      </w:r>
      <w:r w:rsidR="00D13091" w:rsidRPr="00D139D9">
        <w:rPr>
          <w:b/>
          <w:lang w:val="en-GB"/>
        </w:rPr>
        <w:t>action</w:t>
      </w:r>
      <w:r w:rsidRPr="00D139D9">
        <w:rPr>
          <w:b/>
          <w:lang w:val="en-GB"/>
        </w:rPr>
        <w:t xml:space="preserve"> (Goal 13) </w:t>
      </w:r>
    </w:p>
    <w:p w14:paraId="287B25FE" w14:textId="77777777" w:rsidR="00B94F04" w:rsidRPr="00D139D9" w:rsidRDefault="00B94F04" w:rsidP="00B94F04">
      <w:pPr>
        <w:spacing w:after="0" w:line="240" w:lineRule="auto"/>
        <w:jc w:val="both"/>
        <w:rPr>
          <w:b/>
          <w:lang w:val="en-GB"/>
        </w:rPr>
      </w:pPr>
    </w:p>
    <w:p w14:paraId="45B09660" w14:textId="23695259" w:rsidR="00AC250B" w:rsidRDefault="00D13091" w:rsidP="00B94F04">
      <w:pPr>
        <w:spacing w:after="0" w:line="240" w:lineRule="auto"/>
        <w:jc w:val="both"/>
        <w:rPr>
          <w:lang w:val="en-GB"/>
        </w:rPr>
      </w:pPr>
      <w:r w:rsidRPr="00785276">
        <w:rPr>
          <w:lang w:val="en-GB"/>
        </w:rPr>
        <w:t>Children human rights defenders</w:t>
      </w:r>
      <w:r w:rsidR="00313A52">
        <w:rPr>
          <w:lang w:val="en-GB"/>
        </w:rPr>
        <w:t xml:space="preserve"> all around the globe are</w:t>
      </w:r>
      <w:r w:rsidRPr="00785276">
        <w:rPr>
          <w:lang w:val="en-GB"/>
        </w:rPr>
        <w:t xml:space="preserve"> </w:t>
      </w:r>
      <w:r w:rsidR="0029702F">
        <w:rPr>
          <w:lang w:val="en-GB"/>
        </w:rPr>
        <w:t>acting</w:t>
      </w:r>
      <w:r w:rsidR="0029702F" w:rsidRPr="00785276">
        <w:rPr>
          <w:lang w:val="en-GB"/>
        </w:rPr>
        <w:t xml:space="preserve"> </w:t>
      </w:r>
      <w:r w:rsidRPr="00785276">
        <w:rPr>
          <w:lang w:val="en-GB"/>
        </w:rPr>
        <w:t>on environmental issues</w:t>
      </w:r>
      <w:r w:rsidR="00313A52">
        <w:rPr>
          <w:lang w:val="en-GB"/>
        </w:rPr>
        <w:t>.</w:t>
      </w:r>
      <w:r w:rsidR="00AC250B">
        <w:rPr>
          <w:lang w:val="en-GB"/>
        </w:rPr>
        <w:t xml:space="preserve"> A clear example</w:t>
      </w:r>
      <w:r w:rsidR="00A41D67">
        <w:rPr>
          <w:lang w:val="en-GB"/>
        </w:rPr>
        <w:t xml:space="preserve"> is</w:t>
      </w:r>
      <w:r w:rsidR="00AC250B">
        <w:rPr>
          <w:lang w:val="en-GB"/>
        </w:rPr>
        <w:t xml:space="preserve"> the school strike for climate movement</w:t>
      </w:r>
      <w:r w:rsidR="00A41D67">
        <w:rPr>
          <w:lang w:val="en-GB"/>
        </w:rPr>
        <w:t xml:space="preserve"> </w:t>
      </w:r>
      <w:r w:rsidR="00AC250B">
        <w:rPr>
          <w:lang w:val="en-GB"/>
        </w:rPr>
        <w:t>triggered by</w:t>
      </w:r>
      <w:r w:rsidR="00A41D67">
        <w:rPr>
          <w:lang w:val="en-GB"/>
        </w:rPr>
        <w:t xml:space="preserve"> </w:t>
      </w:r>
      <w:r w:rsidR="00AC250B" w:rsidRPr="00AC250B">
        <w:rPr>
          <w:lang w:val="en-GB"/>
        </w:rPr>
        <w:t>15-year-old Greta Thunberg</w:t>
      </w:r>
      <w:r w:rsidR="00AC250B">
        <w:rPr>
          <w:lang w:val="en-GB"/>
        </w:rPr>
        <w:t xml:space="preserve"> in 2018. Her activities and the actions of other </w:t>
      </w:r>
      <w:r w:rsidR="00A41D67">
        <w:rPr>
          <w:lang w:val="en-GB"/>
        </w:rPr>
        <w:t>girl</w:t>
      </w:r>
      <w:r w:rsidR="00AC250B">
        <w:rPr>
          <w:lang w:val="en-GB"/>
        </w:rPr>
        <w:t xml:space="preserve"> human rights defenders have been</w:t>
      </w:r>
      <w:r w:rsidR="00A41D67">
        <w:rPr>
          <w:lang w:val="en-GB"/>
        </w:rPr>
        <w:t xml:space="preserve"> highlighted by the </w:t>
      </w:r>
      <w:r w:rsidR="00AC250B" w:rsidRPr="006A60AC">
        <w:rPr>
          <w:lang w:val="en-GB"/>
        </w:rPr>
        <w:t xml:space="preserve">Special Rapporteur </w:t>
      </w:r>
      <w:proofErr w:type="gramStart"/>
      <w:r w:rsidR="00AC250B" w:rsidRPr="006A60AC">
        <w:rPr>
          <w:lang w:val="en-GB"/>
        </w:rPr>
        <w:t>on the situation of</w:t>
      </w:r>
      <w:proofErr w:type="gramEnd"/>
      <w:r w:rsidR="00AC250B" w:rsidRPr="006A60AC">
        <w:rPr>
          <w:lang w:val="en-GB"/>
        </w:rPr>
        <w:t xml:space="preserve"> human rights defender</w:t>
      </w:r>
      <w:r w:rsidR="00A41D67">
        <w:rPr>
          <w:lang w:val="en-GB"/>
        </w:rPr>
        <w:t>s</w:t>
      </w:r>
      <w:r w:rsidR="006F521E" w:rsidRPr="006F521E">
        <w:rPr>
          <w:lang w:val="en-GB"/>
        </w:rPr>
        <w:t xml:space="preserve"> </w:t>
      </w:r>
      <w:r w:rsidR="006F521E">
        <w:rPr>
          <w:lang w:val="en-GB"/>
        </w:rPr>
        <w:t>in his 2019 report to the Human Rights Council</w:t>
      </w:r>
      <w:r w:rsidR="001E5485">
        <w:rPr>
          <w:lang w:val="en-GB"/>
        </w:rPr>
        <w:t>.</w:t>
      </w:r>
      <w:r w:rsidR="00AC250B">
        <w:rPr>
          <w:rStyle w:val="FootnoteReference"/>
          <w:lang w:val="en-GB"/>
        </w:rPr>
        <w:footnoteReference w:id="9"/>
      </w:r>
      <w:r w:rsidR="006F521E">
        <w:rPr>
          <w:lang w:val="en-GB"/>
        </w:rPr>
        <w:t xml:space="preserve"> </w:t>
      </w:r>
      <w:r w:rsidR="00B22E8D">
        <w:rPr>
          <w:lang w:val="en-GB"/>
        </w:rPr>
        <w:t>T</w:t>
      </w:r>
      <w:r w:rsidR="001E5485">
        <w:rPr>
          <w:lang w:val="en-GB"/>
        </w:rPr>
        <w:t xml:space="preserve">he Special Rapporteur </w:t>
      </w:r>
      <w:r w:rsidR="00B22E8D">
        <w:rPr>
          <w:lang w:val="en-GB"/>
        </w:rPr>
        <w:t xml:space="preserve">also </w:t>
      </w:r>
      <w:r w:rsidR="00424FBB">
        <w:rPr>
          <w:lang w:val="en-GB"/>
        </w:rPr>
        <w:t>noted that girl human rights defenders</w:t>
      </w:r>
      <w:r w:rsidR="001E5485">
        <w:rPr>
          <w:lang w:val="en-GB"/>
        </w:rPr>
        <w:t xml:space="preserve"> </w:t>
      </w:r>
      <w:r w:rsidR="00A41D67" w:rsidRPr="006A60AC">
        <w:rPr>
          <w:lang w:val="en-GB"/>
        </w:rPr>
        <w:t>face challenges</w:t>
      </w:r>
      <w:r w:rsidR="00A41D67">
        <w:rPr>
          <w:lang w:val="en-GB"/>
        </w:rPr>
        <w:t xml:space="preserve"> </w:t>
      </w:r>
      <w:r w:rsidR="001E5485">
        <w:rPr>
          <w:lang w:val="en-GB"/>
        </w:rPr>
        <w:t xml:space="preserve">and are not given </w:t>
      </w:r>
      <w:r w:rsidR="006F521E">
        <w:rPr>
          <w:lang w:val="en-GB"/>
        </w:rPr>
        <w:t xml:space="preserve">proper </w:t>
      </w:r>
      <w:r w:rsidR="001E5485">
        <w:rPr>
          <w:lang w:val="en-GB"/>
        </w:rPr>
        <w:t>attention</w:t>
      </w:r>
      <w:r w:rsidR="006F521E" w:rsidRPr="006F521E">
        <w:rPr>
          <w:lang w:val="en-GB"/>
        </w:rPr>
        <w:t xml:space="preserve"> </w:t>
      </w:r>
      <w:r w:rsidR="006F521E">
        <w:rPr>
          <w:lang w:val="en-GB"/>
        </w:rPr>
        <w:t>because of</w:t>
      </w:r>
      <w:r w:rsidR="006F521E" w:rsidRPr="006A60AC">
        <w:rPr>
          <w:lang w:val="en-GB"/>
        </w:rPr>
        <w:t xml:space="preserve"> </w:t>
      </w:r>
      <w:r w:rsidR="006F521E">
        <w:rPr>
          <w:lang w:val="en-GB"/>
        </w:rPr>
        <w:t xml:space="preserve">their </w:t>
      </w:r>
      <w:r w:rsidR="006F521E" w:rsidRPr="006A60AC">
        <w:rPr>
          <w:lang w:val="en-GB"/>
        </w:rPr>
        <w:t>age, dependent status and other aspects of their identities</w:t>
      </w:r>
      <w:r w:rsidR="001E5485">
        <w:rPr>
          <w:lang w:val="en-GB"/>
        </w:rPr>
        <w:t>.</w:t>
      </w:r>
      <w:r w:rsidR="00B22E8D">
        <w:rPr>
          <w:rStyle w:val="FootnoteReference"/>
          <w:lang w:val="en-GB"/>
        </w:rPr>
        <w:footnoteReference w:id="10"/>
      </w:r>
      <w:r w:rsidR="001E5485">
        <w:rPr>
          <w:lang w:val="en-GB"/>
        </w:rPr>
        <w:t xml:space="preserve"> </w:t>
      </w:r>
    </w:p>
    <w:p w14:paraId="5BDECBEF" w14:textId="77777777" w:rsidR="00AC250B" w:rsidRPr="006A60AC" w:rsidRDefault="00AC250B" w:rsidP="00B94F04">
      <w:pPr>
        <w:spacing w:after="0" w:line="240" w:lineRule="auto"/>
        <w:jc w:val="both"/>
        <w:rPr>
          <w:b/>
          <w:lang w:val="en-GB"/>
        </w:rPr>
      </w:pPr>
    </w:p>
    <w:p w14:paraId="02BFD156" w14:textId="7A88C596" w:rsidR="003568BC" w:rsidRDefault="00B22E8D" w:rsidP="00B94F04">
      <w:pPr>
        <w:spacing w:after="0" w:line="240" w:lineRule="auto"/>
        <w:jc w:val="both"/>
        <w:rPr>
          <w:lang w:val="en-GB"/>
        </w:rPr>
      </w:pPr>
      <w:r>
        <w:rPr>
          <w:lang w:val="en-GB"/>
        </w:rPr>
        <w:t xml:space="preserve">As was discussed in </w:t>
      </w:r>
      <w:r w:rsidR="001E5485">
        <w:rPr>
          <w:lang w:val="en-GB"/>
        </w:rPr>
        <w:t>the DGD</w:t>
      </w:r>
      <w:r w:rsidR="00313A52">
        <w:rPr>
          <w:lang w:val="en-GB"/>
        </w:rPr>
        <w:t xml:space="preserve">, </w:t>
      </w:r>
      <w:r w:rsidR="006A60AC">
        <w:rPr>
          <w:lang w:val="en-GB"/>
        </w:rPr>
        <w:t xml:space="preserve">children </w:t>
      </w:r>
      <w:r w:rsidR="00D13091" w:rsidRPr="00785276">
        <w:rPr>
          <w:lang w:val="en-GB"/>
        </w:rPr>
        <w:t xml:space="preserve">can face intimidation, harassment and even violence from authorities, particularly when </w:t>
      </w:r>
      <w:r>
        <w:rPr>
          <w:lang w:val="en-GB"/>
        </w:rPr>
        <w:t>acting</w:t>
      </w:r>
      <w:r w:rsidRPr="00785276">
        <w:rPr>
          <w:lang w:val="en-GB"/>
        </w:rPr>
        <w:t xml:space="preserve"> </w:t>
      </w:r>
      <w:r w:rsidR="00D13091" w:rsidRPr="00785276">
        <w:rPr>
          <w:lang w:val="en-GB"/>
        </w:rPr>
        <w:t>on</w:t>
      </w:r>
      <w:r w:rsidR="001E5485">
        <w:rPr>
          <w:lang w:val="en-GB"/>
        </w:rPr>
        <w:t xml:space="preserve"> issues such as</w:t>
      </w:r>
      <w:r w:rsidR="00D13091" w:rsidRPr="00785276">
        <w:rPr>
          <w:lang w:val="en-GB"/>
        </w:rPr>
        <w:t xml:space="preserve"> pollution</w:t>
      </w:r>
      <w:r w:rsidR="001E5485">
        <w:rPr>
          <w:lang w:val="en-GB"/>
        </w:rPr>
        <w:t>,</w:t>
      </w:r>
      <w:r w:rsidR="006F521E">
        <w:rPr>
          <w:lang w:val="en-GB"/>
        </w:rPr>
        <w:t xml:space="preserve"> </w:t>
      </w:r>
      <w:r w:rsidR="00D13091" w:rsidRPr="00785276">
        <w:rPr>
          <w:lang w:val="en-GB"/>
        </w:rPr>
        <w:t xml:space="preserve">access to land and </w:t>
      </w:r>
      <w:r>
        <w:rPr>
          <w:lang w:val="en-GB"/>
        </w:rPr>
        <w:t xml:space="preserve">access to </w:t>
      </w:r>
      <w:r w:rsidR="00D13091" w:rsidRPr="00785276">
        <w:rPr>
          <w:lang w:val="en-GB"/>
        </w:rPr>
        <w:t xml:space="preserve">other natural resources. Addressing environmental issues </w:t>
      </w:r>
      <w:r>
        <w:rPr>
          <w:lang w:val="en-GB"/>
        </w:rPr>
        <w:t xml:space="preserve">using </w:t>
      </w:r>
      <w:r w:rsidR="00D13091" w:rsidRPr="00785276">
        <w:rPr>
          <w:lang w:val="en-GB"/>
        </w:rPr>
        <w:t xml:space="preserve">the human rights </w:t>
      </w:r>
      <w:r>
        <w:rPr>
          <w:lang w:val="en-GB"/>
        </w:rPr>
        <w:t xml:space="preserve">law </w:t>
      </w:r>
      <w:r w:rsidR="00D13091" w:rsidRPr="00785276">
        <w:rPr>
          <w:lang w:val="en-GB"/>
        </w:rPr>
        <w:t xml:space="preserve">framework </w:t>
      </w:r>
      <w:r>
        <w:rPr>
          <w:lang w:val="en-GB"/>
        </w:rPr>
        <w:t xml:space="preserve">helps ensure </w:t>
      </w:r>
      <w:r w:rsidR="00D13091" w:rsidRPr="00785276">
        <w:rPr>
          <w:lang w:val="en-GB"/>
        </w:rPr>
        <w:t>the protection and empowerment of environmental child human rights defenders.</w:t>
      </w:r>
      <w:r w:rsidR="00084AAD">
        <w:rPr>
          <w:rStyle w:val="FootnoteReference"/>
          <w:lang w:val="en-GB"/>
        </w:rPr>
        <w:footnoteReference w:id="11"/>
      </w:r>
      <w:r w:rsidR="00D13091" w:rsidRPr="00785276">
        <w:rPr>
          <w:lang w:val="en-GB"/>
        </w:rPr>
        <w:t xml:space="preserve"> </w:t>
      </w:r>
      <w:r w:rsidR="008379E0" w:rsidRPr="008F6986">
        <w:rPr>
          <w:rFonts w:ascii="Calibri" w:eastAsia="Times New Roman" w:hAnsi="Calibri" w:cs="Calibri"/>
          <w:lang w:val="en-GB" w:eastAsia="en-GB"/>
        </w:rPr>
        <w:t>Human Rights Council resolution A</w:t>
      </w:r>
      <w:r w:rsidR="00D13091">
        <w:rPr>
          <w:rFonts w:ascii="Calibri" w:eastAsia="Times New Roman" w:hAnsi="Calibri" w:cs="Calibri"/>
          <w:lang w:val="en-GB" w:eastAsia="en-GB"/>
        </w:rPr>
        <w:t>/</w:t>
      </w:r>
      <w:r w:rsidR="008379E0" w:rsidRPr="008F6986">
        <w:rPr>
          <w:rFonts w:ascii="Calibri" w:eastAsia="Times New Roman" w:hAnsi="Calibri" w:cs="Calibri"/>
          <w:lang w:val="en-GB" w:eastAsia="en-GB"/>
        </w:rPr>
        <w:t>HRC</w:t>
      </w:r>
      <w:r w:rsidR="00D13091">
        <w:rPr>
          <w:rFonts w:ascii="Calibri" w:eastAsia="Times New Roman" w:hAnsi="Calibri" w:cs="Calibri"/>
          <w:lang w:val="en-GB" w:eastAsia="en-GB"/>
        </w:rPr>
        <w:t>/</w:t>
      </w:r>
      <w:r>
        <w:rPr>
          <w:rFonts w:ascii="Calibri" w:eastAsia="Times New Roman" w:hAnsi="Calibri" w:cs="Calibri"/>
          <w:lang w:val="en-GB" w:eastAsia="en-GB"/>
        </w:rPr>
        <w:t>RES/</w:t>
      </w:r>
      <w:r w:rsidR="008379E0" w:rsidRPr="008F6986">
        <w:rPr>
          <w:rFonts w:ascii="Calibri" w:eastAsia="Times New Roman" w:hAnsi="Calibri" w:cs="Calibri"/>
          <w:lang w:val="en-GB" w:eastAsia="en-GB"/>
        </w:rPr>
        <w:t>40</w:t>
      </w:r>
      <w:r w:rsidR="00D13091">
        <w:rPr>
          <w:rFonts w:ascii="Calibri" w:eastAsia="Times New Roman" w:hAnsi="Calibri" w:cs="Calibri"/>
          <w:lang w:val="en-GB" w:eastAsia="en-GB"/>
        </w:rPr>
        <w:t>/</w:t>
      </w:r>
      <w:r w:rsidR="008379E0" w:rsidRPr="008F6986">
        <w:rPr>
          <w:rFonts w:ascii="Calibri" w:eastAsia="Times New Roman" w:hAnsi="Calibri" w:cs="Calibri"/>
          <w:lang w:val="en-GB" w:eastAsia="en-GB"/>
        </w:rPr>
        <w:t>11</w:t>
      </w:r>
      <w:r w:rsidR="008379E0" w:rsidRPr="00D13091">
        <w:rPr>
          <w:rFonts w:ascii="Calibri" w:eastAsia="Times New Roman" w:hAnsi="Calibri" w:cs="Calibri"/>
          <w:lang w:val="en-GB" w:eastAsia="en-GB"/>
        </w:rPr>
        <w:t xml:space="preserve"> </w:t>
      </w:r>
      <w:r w:rsidR="009674ED">
        <w:rPr>
          <w:rFonts w:ascii="Calibri" w:eastAsia="Times New Roman" w:hAnsi="Calibri" w:cs="Calibri"/>
          <w:lang w:val="en-GB" w:eastAsia="en-GB"/>
        </w:rPr>
        <w:t xml:space="preserve">specifically calls </w:t>
      </w:r>
      <w:r w:rsidR="008379E0" w:rsidRPr="008F6986">
        <w:rPr>
          <w:lang w:val="en-GB"/>
        </w:rPr>
        <w:t xml:space="preserve">on </w:t>
      </w:r>
      <w:r w:rsidR="009674ED">
        <w:rPr>
          <w:lang w:val="en-GB"/>
        </w:rPr>
        <w:t>S</w:t>
      </w:r>
      <w:r w:rsidR="008379E0" w:rsidRPr="008F6986">
        <w:rPr>
          <w:lang w:val="en-GB"/>
        </w:rPr>
        <w:t xml:space="preserve">tates to provide a safe and </w:t>
      </w:r>
      <w:r w:rsidR="008379E0" w:rsidRPr="008F6986">
        <w:rPr>
          <w:lang w:val="en-GB"/>
        </w:rPr>
        <w:lastRenderedPageBreak/>
        <w:t xml:space="preserve">empowering context for initiatives organized by young people and children </w:t>
      </w:r>
      <w:r w:rsidR="009674ED">
        <w:rPr>
          <w:lang w:val="en-GB"/>
        </w:rPr>
        <w:t>when</w:t>
      </w:r>
      <w:r w:rsidR="009674ED" w:rsidRPr="008F6986">
        <w:rPr>
          <w:lang w:val="en-GB"/>
        </w:rPr>
        <w:t xml:space="preserve"> </w:t>
      </w:r>
      <w:r w:rsidR="008379E0" w:rsidRPr="008F6986">
        <w:rPr>
          <w:lang w:val="en-GB"/>
        </w:rPr>
        <w:t>defend</w:t>
      </w:r>
      <w:r w:rsidR="009674ED">
        <w:rPr>
          <w:lang w:val="en-GB"/>
        </w:rPr>
        <w:t>ing</w:t>
      </w:r>
      <w:r w:rsidR="008379E0" w:rsidRPr="008F6986">
        <w:rPr>
          <w:lang w:val="en-GB"/>
        </w:rPr>
        <w:t xml:space="preserve"> human rights relat</w:t>
      </w:r>
      <w:r w:rsidR="009674ED">
        <w:rPr>
          <w:lang w:val="en-GB"/>
        </w:rPr>
        <w:t>ed</w:t>
      </w:r>
      <w:r w:rsidR="008379E0" w:rsidRPr="008F6986">
        <w:rPr>
          <w:lang w:val="en-GB"/>
        </w:rPr>
        <w:t xml:space="preserve"> to the environment</w:t>
      </w:r>
      <w:r w:rsidR="00D13091">
        <w:rPr>
          <w:lang w:val="en-GB"/>
        </w:rPr>
        <w:t>.</w:t>
      </w:r>
      <w:r w:rsidR="00D13091">
        <w:rPr>
          <w:rStyle w:val="FootnoteReference"/>
          <w:lang w:val="en-GB"/>
        </w:rPr>
        <w:footnoteReference w:id="12"/>
      </w:r>
    </w:p>
    <w:p w14:paraId="58E2DDFE" w14:textId="28C5AB00" w:rsidR="00B94F04" w:rsidRDefault="00B94F04" w:rsidP="00B94F04">
      <w:pPr>
        <w:spacing w:after="0" w:line="240" w:lineRule="auto"/>
        <w:jc w:val="both"/>
        <w:rPr>
          <w:lang w:val="en-GB"/>
        </w:rPr>
      </w:pPr>
    </w:p>
    <w:p w14:paraId="5D6CA098" w14:textId="7AB55513" w:rsidR="001E5485" w:rsidRPr="00035F46" w:rsidRDefault="00035F46" w:rsidP="00035F46">
      <w:pPr>
        <w:widowControl w:val="0"/>
        <w:autoSpaceDE w:val="0"/>
        <w:autoSpaceDN w:val="0"/>
        <w:adjustRightInd w:val="0"/>
        <w:spacing w:after="120" w:line="240" w:lineRule="auto"/>
        <w:jc w:val="both"/>
        <w:rPr>
          <w:lang w:val="en-GB"/>
        </w:rPr>
      </w:pPr>
      <w:r>
        <w:rPr>
          <w:lang w:val="en-GB"/>
        </w:rPr>
        <w:t xml:space="preserve">In the </w:t>
      </w:r>
      <w:r w:rsidR="007A69C5">
        <w:rPr>
          <w:lang w:val="en-GB"/>
        </w:rPr>
        <w:t xml:space="preserve">2018 </w:t>
      </w:r>
      <w:r>
        <w:rPr>
          <w:lang w:val="en-GB"/>
        </w:rPr>
        <w:t xml:space="preserve">DGD outcome report, the Committee recommended </w:t>
      </w:r>
      <w:r w:rsidR="001E5485" w:rsidRPr="00035F46">
        <w:rPr>
          <w:lang w:val="en-GB"/>
        </w:rPr>
        <w:t xml:space="preserve">States </w:t>
      </w:r>
      <w:r>
        <w:rPr>
          <w:lang w:val="en-GB"/>
        </w:rPr>
        <w:t>to</w:t>
      </w:r>
      <w:r w:rsidR="00613376">
        <w:rPr>
          <w:lang w:val="en-GB"/>
        </w:rPr>
        <w:t xml:space="preserve"> 1)</w:t>
      </w:r>
      <w:r>
        <w:rPr>
          <w:lang w:val="en-GB"/>
        </w:rPr>
        <w:t xml:space="preserve"> </w:t>
      </w:r>
      <w:r w:rsidR="001E5485" w:rsidRPr="00035F46">
        <w:rPr>
          <w:lang w:val="en-GB"/>
        </w:rPr>
        <w:t>provide a safe and empowering context for environmental child human rights defenders</w:t>
      </w:r>
      <w:r>
        <w:rPr>
          <w:lang w:val="en-GB"/>
        </w:rPr>
        <w:t>,</w:t>
      </w:r>
      <w:r w:rsidR="001E5485" w:rsidRPr="00035F46">
        <w:rPr>
          <w:lang w:val="en-GB"/>
        </w:rPr>
        <w:t xml:space="preserve"> </w:t>
      </w:r>
      <w:r w:rsidR="00613376">
        <w:rPr>
          <w:lang w:val="en-GB"/>
        </w:rPr>
        <w:t>2)</w:t>
      </w:r>
      <w:r w:rsidR="007A69C5">
        <w:rPr>
          <w:lang w:val="en-GB"/>
        </w:rPr>
        <w:t xml:space="preserve"> </w:t>
      </w:r>
      <w:r>
        <w:rPr>
          <w:lang w:val="en-GB"/>
        </w:rPr>
        <w:t xml:space="preserve">support activities organized by them, and </w:t>
      </w:r>
      <w:r w:rsidR="00613376">
        <w:rPr>
          <w:lang w:val="en-GB"/>
        </w:rPr>
        <w:t xml:space="preserve">3) </w:t>
      </w:r>
      <w:r>
        <w:rPr>
          <w:lang w:val="en-GB"/>
        </w:rPr>
        <w:t xml:space="preserve">ensure they are protected against </w:t>
      </w:r>
      <w:r w:rsidRPr="00E9679C">
        <w:rPr>
          <w:lang w:val="en-GB"/>
        </w:rPr>
        <w:t>intimidation, harassment and violence</w:t>
      </w:r>
      <w:r>
        <w:rPr>
          <w:lang w:val="en-GB"/>
        </w:rPr>
        <w:t>.</w:t>
      </w:r>
      <w:r w:rsidRPr="00035F46">
        <w:rPr>
          <w:lang w:val="en-GB"/>
        </w:rPr>
        <w:t xml:space="preserve"> </w:t>
      </w:r>
      <w:r w:rsidR="001E5485" w:rsidRPr="00035F46">
        <w:rPr>
          <w:lang w:val="en-GB"/>
        </w:rPr>
        <w:t xml:space="preserve">States should </w:t>
      </w:r>
      <w:r w:rsidR="00613376">
        <w:rPr>
          <w:lang w:val="en-GB"/>
        </w:rPr>
        <w:t xml:space="preserve">also </w:t>
      </w:r>
      <w:r w:rsidR="001E5485" w:rsidRPr="00035F46">
        <w:rPr>
          <w:lang w:val="en-GB"/>
        </w:rPr>
        <w:t>promote a positive narrative about environmental child human rights defenders, including in the media, and facilitate the participation of children and youth in decision-making and implementation of environmental policies and programmes.</w:t>
      </w:r>
      <w:r w:rsidR="007A69C5">
        <w:rPr>
          <w:lang w:val="en-GB"/>
        </w:rPr>
        <w:t xml:space="preserve"> The 2016 DGD on children’s rights and the environment include</w:t>
      </w:r>
      <w:r w:rsidR="00613376">
        <w:rPr>
          <w:lang w:val="en-GB"/>
        </w:rPr>
        <w:t xml:space="preserve">d, </w:t>
      </w:r>
      <w:r w:rsidR="00613376" w:rsidRPr="00613376">
        <w:rPr>
          <w:i/>
          <w:lang w:val="en-GB"/>
        </w:rPr>
        <w:t>inter alia</w:t>
      </w:r>
      <w:r w:rsidR="00613376">
        <w:rPr>
          <w:lang w:val="en-GB"/>
        </w:rPr>
        <w:t>, concrete</w:t>
      </w:r>
      <w:r w:rsidR="007A69C5">
        <w:rPr>
          <w:lang w:val="en-GB"/>
        </w:rPr>
        <w:t xml:space="preserve"> recommendation</w:t>
      </w:r>
      <w:r w:rsidR="009674ED">
        <w:rPr>
          <w:lang w:val="en-GB"/>
        </w:rPr>
        <w:t>s</w:t>
      </w:r>
      <w:r w:rsidR="007A69C5">
        <w:rPr>
          <w:lang w:val="en-GB"/>
        </w:rPr>
        <w:t xml:space="preserve"> to regulate the private sector</w:t>
      </w:r>
      <w:r w:rsidR="009674ED">
        <w:rPr>
          <w:lang w:val="en-GB"/>
        </w:rPr>
        <w:t>.</w:t>
      </w:r>
      <w:r w:rsidR="007A69C5">
        <w:rPr>
          <w:lang w:val="en-GB"/>
        </w:rPr>
        <w:t xml:space="preserve"> </w:t>
      </w:r>
    </w:p>
    <w:p w14:paraId="423DE715" w14:textId="77777777" w:rsidR="001E5485" w:rsidRPr="00084AAD" w:rsidRDefault="001E5485" w:rsidP="00B94F04">
      <w:pPr>
        <w:spacing w:after="0" w:line="240" w:lineRule="auto"/>
        <w:jc w:val="both"/>
        <w:rPr>
          <w:lang w:val="en-GB"/>
        </w:rPr>
      </w:pPr>
    </w:p>
    <w:p w14:paraId="13CE8658" w14:textId="2CDE892F" w:rsidR="003568BC" w:rsidRPr="008F6986" w:rsidRDefault="00084AAD" w:rsidP="00B94F04">
      <w:pPr>
        <w:spacing w:after="0" w:line="240" w:lineRule="auto"/>
        <w:jc w:val="both"/>
        <w:rPr>
          <w:rFonts w:ascii="Calibri" w:eastAsia="Times New Roman" w:hAnsi="Calibri" w:cs="Calibri"/>
          <w:i/>
          <w:lang w:val="en-GB" w:eastAsia="en-GB"/>
        </w:rPr>
      </w:pPr>
      <w:r>
        <w:rPr>
          <w:lang w:val="en-GB"/>
        </w:rPr>
        <w:t xml:space="preserve">As a good </w:t>
      </w:r>
      <w:r w:rsidR="00B94F04">
        <w:rPr>
          <w:lang w:val="en-GB"/>
        </w:rPr>
        <w:t>practice</w:t>
      </w:r>
      <w:r>
        <w:rPr>
          <w:lang w:val="en-GB"/>
        </w:rPr>
        <w:t>, children in the Philippines are involved in</w:t>
      </w:r>
      <w:r w:rsidRPr="003568BC">
        <w:rPr>
          <w:lang w:val="en-GB"/>
        </w:rPr>
        <w:t xml:space="preserve"> annual mangrove planting</w:t>
      </w:r>
      <w:r>
        <w:rPr>
          <w:lang w:val="en-GB"/>
        </w:rPr>
        <w:t>,</w:t>
      </w:r>
      <w:r w:rsidRPr="003568BC">
        <w:rPr>
          <w:lang w:val="en-GB"/>
        </w:rPr>
        <w:t xml:space="preserve"> </w:t>
      </w:r>
      <w:r>
        <w:rPr>
          <w:lang w:val="en-GB"/>
        </w:rPr>
        <w:t xml:space="preserve">together with </w:t>
      </w:r>
      <w:r w:rsidRPr="003568BC">
        <w:rPr>
          <w:lang w:val="en-GB"/>
        </w:rPr>
        <w:t>indigenous people, local government</w:t>
      </w:r>
      <w:r>
        <w:rPr>
          <w:lang w:val="en-GB"/>
        </w:rPr>
        <w:t xml:space="preserve">, </w:t>
      </w:r>
      <w:r w:rsidRPr="003568BC">
        <w:rPr>
          <w:lang w:val="en-GB"/>
        </w:rPr>
        <w:t>communities and international volunteers</w:t>
      </w:r>
      <w:r>
        <w:rPr>
          <w:lang w:val="en-GB"/>
        </w:rPr>
        <w:t>,</w:t>
      </w:r>
      <w:r w:rsidRPr="003568BC">
        <w:rPr>
          <w:lang w:val="en-GB"/>
        </w:rPr>
        <w:t xml:space="preserve"> to reduce the impact of flooding and damage to property</w:t>
      </w:r>
      <w:r>
        <w:rPr>
          <w:lang w:val="en-GB"/>
        </w:rPr>
        <w:t xml:space="preserve"> when typhoons take place</w:t>
      </w:r>
      <w:r w:rsidR="0029702F">
        <w:rPr>
          <w:lang w:val="en-GB"/>
        </w:rPr>
        <w:t xml:space="preserve"> (as per Target 13.1 and 13.3)</w:t>
      </w:r>
      <w:r>
        <w:rPr>
          <w:lang w:val="en-GB"/>
        </w:rPr>
        <w:t xml:space="preserve">. </w:t>
      </w:r>
      <w:r w:rsidR="008E790A">
        <w:rPr>
          <w:lang w:val="en-GB"/>
        </w:rPr>
        <w:t>T</w:t>
      </w:r>
      <w:r w:rsidR="008E790A" w:rsidRPr="008E790A">
        <w:rPr>
          <w:lang w:val="en-GB"/>
        </w:rPr>
        <w:t xml:space="preserve">hrough these livelihood projects, there is awareness-raising on topics such as waste management, planting vegetables, pollution and the use of fertilizers. </w:t>
      </w:r>
      <w:r w:rsidR="003568BC" w:rsidRPr="003568BC">
        <w:rPr>
          <w:lang w:val="en-GB"/>
        </w:rPr>
        <w:t xml:space="preserve">There is </w:t>
      </w:r>
      <w:r w:rsidR="0029702F">
        <w:rPr>
          <w:lang w:val="en-GB"/>
        </w:rPr>
        <w:t>also</w:t>
      </w:r>
      <w:r>
        <w:rPr>
          <w:lang w:val="en-GB"/>
        </w:rPr>
        <w:t xml:space="preserve"> a</w:t>
      </w:r>
      <w:r w:rsidR="003568BC" w:rsidRPr="003568BC">
        <w:rPr>
          <w:lang w:val="en-GB"/>
        </w:rPr>
        <w:t xml:space="preserve"> “Mobile Education Project”, where children learn about their human rights and the environment.</w:t>
      </w:r>
      <w:r w:rsidR="009674ED">
        <w:rPr>
          <w:rStyle w:val="FootnoteReference"/>
          <w:lang w:val="en-GB"/>
        </w:rPr>
        <w:footnoteReference w:id="13"/>
      </w:r>
      <w:r w:rsidR="003568BC" w:rsidRPr="003568BC">
        <w:rPr>
          <w:lang w:val="en-GB"/>
        </w:rPr>
        <w:t xml:space="preserve"> </w:t>
      </w:r>
    </w:p>
    <w:p w14:paraId="750496FD" w14:textId="77777777" w:rsidR="00CC3844" w:rsidRDefault="00CC3844" w:rsidP="00B94F04">
      <w:pPr>
        <w:spacing w:after="0" w:line="240" w:lineRule="auto"/>
        <w:jc w:val="both"/>
        <w:rPr>
          <w:lang w:val="en-GB"/>
        </w:rPr>
      </w:pPr>
    </w:p>
    <w:p w14:paraId="35627FDC" w14:textId="126B31B1" w:rsidR="00E772FE" w:rsidRDefault="008E790A" w:rsidP="00B94F04">
      <w:pPr>
        <w:spacing w:after="0" w:line="240" w:lineRule="auto"/>
        <w:jc w:val="both"/>
        <w:rPr>
          <w:b/>
          <w:lang w:val="en-GB"/>
        </w:rPr>
      </w:pPr>
      <w:r w:rsidRPr="008E790A">
        <w:rPr>
          <w:b/>
          <w:lang w:val="en-GB"/>
        </w:rPr>
        <w:t>Peace, justice and strong institutions (Goal 16)</w:t>
      </w:r>
    </w:p>
    <w:p w14:paraId="355E13AA" w14:textId="77777777" w:rsidR="00B94F04" w:rsidRDefault="00B94F04" w:rsidP="00B94F04">
      <w:pPr>
        <w:spacing w:after="0" w:line="240" w:lineRule="auto"/>
        <w:jc w:val="both"/>
        <w:rPr>
          <w:b/>
          <w:lang w:val="en-GB"/>
        </w:rPr>
      </w:pPr>
    </w:p>
    <w:p w14:paraId="145C8E90" w14:textId="46EAEDBF" w:rsidR="00AD693D" w:rsidRDefault="00B94F04" w:rsidP="006F2A03">
      <w:pPr>
        <w:spacing w:after="0" w:line="240" w:lineRule="auto"/>
        <w:jc w:val="both"/>
        <w:rPr>
          <w:lang w:val="en-GB"/>
        </w:rPr>
      </w:pPr>
      <w:r w:rsidRPr="00B94F04">
        <w:rPr>
          <w:rFonts w:ascii="Calibri" w:eastAsia="Times New Roman" w:hAnsi="Calibri" w:cs="Calibri"/>
          <w:b/>
          <w:bCs/>
          <w:lang w:val="en-GB" w:eastAsia="en-GB"/>
        </w:rPr>
        <w:t>Target</w:t>
      </w:r>
      <w:r>
        <w:rPr>
          <w:rFonts w:ascii="Calibri" w:eastAsia="Times New Roman" w:hAnsi="Calibri" w:cs="Calibri"/>
          <w:b/>
          <w:bCs/>
          <w:lang w:val="en-GB" w:eastAsia="en-GB"/>
        </w:rPr>
        <w:t xml:space="preserve"> </w:t>
      </w:r>
      <w:r w:rsidR="006B63B1" w:rsidRPr="00B94F04">
        <w:rPr>
          <w:rFonts w:ascii="Calibri" w:eastAsia="Times New Roman" w:hAnsi="Calibri" w:cs="Calibri"/>
          <w:b/>
          <w:bCs/>
          <w:lang w:val="en-GB" w:eastAsia="en-GB"/>
        </w:rPr>
        <w:t>16.2</w:t>
      </w:r>
      <w:r w:rsidR="009674ED">
        <w:rPr>
          <w:rFonts w:ascii="Calibri" w:eastAsia="Times New Roman" w:hAnsi="Calibri" w:cs="Calibri"/>
          <w:b/>
          <w:bCs/>
          <w:lang w:val="en-GB" w:eastAsia="en-GB"/>
        </w:rPr>
        <w:t>:</w:t>
      </w:r>
      <w:r w:rsidR="006B63B1" w:rsidRPr="00B94F04">
        <w:rPr>
          <w:rFonts w:ascii="Calibri" w:eastAsia="Times New Roman" w:hAnsi="Calibri" w:cs="Calibri"/>
          <w:b/>
          <w:bCs/>
          <w:lang w:val="en-GB" w:eastAsia="en-GB"/>
        </w:rPr>
        <w:t> </w:t>
      </w:r>
      <w:r w:rsidR="006B63B1" w:rsidRPr="00B94F04">
        <w:rPr>
          <w:rFonts w:ascii="Calibri" w:eastAsia="Times New Roman" w:hAnsi="Calibri" w:cs="Calibri"/>
          <w:b/>
          <w:lang w:val="en-GB" w:eastAsia="en-GB"/>
        </w:rPr>
        <w:t>End abuse, exploitation, trafficking and all forms of violence against and torture of children</w:t>
      </w:r>
      <w:r w:rsidRPr="00B94F04">
        <w:rPr>
          <w:rFonts w:ascii="Calibri" w:eastAsia="Times New Roman" w:hAnsi="Calibri" w:cs="Calibri"/>
          <w:b/>
          <w:lang w:val="en-GB" w:eastAsia="en-GB"/>
        </w:rPr>
        <w:t>:</w:t>
      </w:r>
      <w:r>
        <w:rPr>
          <w:rFonts w:ascii="Calibri" w:eastAsia="Times New Roman" w:hAnsi="Calibri" w:cs="Calibri"/>
          <w:lang w:val="en-GB" w:eastAsia="en-GB"/>
        </w:rPr>
        <w:t xml:space="preserve"> </w:t>
      </w:r>
      <w:r w:rsidR="009674ED">
        <w:rPr>
          <w:rFonts w:ascii="Calibri" w:eastAsia="Times New Roman" w:hAnsi="Calibri" w:cs="Calibri"/>
          <w:lang w:val="en-GB" w:eastAsia="en-GB"/>
        </w:rPr>
        <w:t>A</w:t>
      </w:r>
      <w:r w:rsidR="0030614C">
        <w:rPr>
          <w:rFonts w:ascii="Calibri" w:eastAsia="Times New Roman" w:hAnsi="Calibri" w:cs="Calibri"/>
          <w:lang w:val="en-GB" w:eastAsia="en-GB"/>
        </w:rPr>
        <w:t xml:space="preserve"> global consultation with </w:t>
      </w:r>
      <w:r>
        <w:rPr>
          <w:rFonts w:ascii="Calibri" w:eastAsia="Times New Roman" w:hAnsi="Calibri" w:cs="Calibri"/>
          <w:lang w:val="en-GB" w:eastAsia="en-GB"/>
        </w:rPr>
        <w:t>children found</w:t>
      </w:r>
      <w:r w:rsidR="0030614C">
        <w:rPr>
          <w:rFonts w:ascii="Calibri" w:eastAsia="Times New Roman" w:hAnsi="Calibri" w:cs="Calibri"/>
          <w:lang w:val="en-GB" w:eastAsia="en-GB"/>
        </w:rPr>
        <w:t xml:space="preserve"> that </w:t>
      </w:r>
      <w:r w:rsidR="00AF5984">
        <w:rPr>
          <w:rFonts w:ascii="Calibri" w:eastAsia="Times New Roman" w:hAnsi="Calibri" w:cs="Calibri"/>
          <w:lang w:val="en-GB" w:eastAsia="en-GB"/>
        </w:rPr>
        <w:t xml:space="preserve">70% of the children </w:t>
      </w:r>
      <w:r w:rsidR="0030614C">
        <w:rPr>
          <w:rFonts w:ascii="Calibri" w:eastAsia="Times New Roman" w:hAnsi="Calibri" w:cs="Calibri"/>
          <w:lang w:val="en-GB" w:eastAsia="en-GB"/>
        </w:rPr>
        <w:t xml:space="preserve">consulted </w:t>
      </w:r>
      <w:r w:rsidR="00AF5984">
        <w:rPr>
          <w:rFonts w:ascii="Calibri" w:eastAsia="Times New Roman" w:hAnsi="Calibri" w:cs="Calibri"/>
          <w:lang w:val="en-GB" w:eastAsia="en-GB"/>
        </w:rPr>
        <w:t xml:space="preserve">were concerned about violence when they act as </w:t>
      </w:r>
      <w:r w:rsidR="001C6C61">
        <w:rPr>
          <w:rFonts w:ascii="Calibri" w:eastAsia="Times New Roman" w:hAnsi="Calibri" w:cs="Calibri"/>
          <w:lang w:val="en-GB" w:eastAsia="en-GB"/>
        </w:rPr>
        <w:t>human rights defenders</w:t>
      </w:r>
      <w:r w:rsidR="00AF5984">
        <w:rPr>
          <w:rFonts w:ascii="Calibri" w:eastAsia="Times New Roman" w:hAnsi="Calibri" w:cs="Calibri"/>
          <w:lang w:val="en-GB" w:eastAsia="en-GB"/>
        </w:rPr>
        <w:t>.</w:t>
      </w:r>
      <w:r w:rsidR="0030614C">
        <w:rPr>
          <w:rStyle w:val="FootnoteReference"/>
          <w:rFonts w:ascii="Calibri" w:eastAsia="Times New Roman" w:hAnsi="Calibri" w:cs="Calibri"/>
          <w:lang w:val="en-GB" w:eastAsia="en-GB"/>
        </w:rPr>
        <w:footnoteReference w:id="14"/>
      </w:r>
      <w:r w:rsidR="00AF5984">
        <w:rPr>
          <w:rFonts w:ascii="Calibri" w:eastAsia="Times New Roman" w:hAnsi="Calibri" w:cs="Calibri"/>
          <w:lang w:val="en-GB" w:eastAsia="en-GB"/>
        </w:rPr>
        <w:t xml:space="preserve"> </w:t>
      </w:r>
      <w:r w:rsidR="006F2A03">
        <w:rPr>
          <w:rFonts w:ascii="Calibri" w:eastAsia="Times New Roman" w:hAnsi="Calibri" w:cs="Calibri"/>
          <w:lang w:val="en-GB" w:eastAsia="en-GB"/>
        </w:rPr>
        <w:t xml:space="preserve">During the 2018 DGD, </w:t>
      </w:r>
      <w:r w:rsidR="00E14EEC">
        <w:rPr>
          <w:rFonts w:ascii="Calibri" w:eastAsia="Times New Roman" w:hAnsi="Calibri" w:cs="Calibri"/>
          <w:lang w:val="en-GB" w:eastAsia="en-GB"/>
        </w:rPr>
        <w:t>c</w:t>
      </w:r>
      <w:r w:rsidR="006A60AC">
        <w:rPr>
          <w:rFonts w:ascii="Calibri" w:eastAsia="Times New Roman" w:hAnsi="Calibri" w:cs="Calibri"/>
          <w:lang w:val="en-GB" w:eastAsia="en-GB"/>
        </w:rPr>
        <w:t xml:space="preserve">hildren reported having </w:t>
      </w:r>
      <w:r w:rsidR="006A60AC" w:rsidRPr="00785276">
        <w:rPr>
          <w:lang w:val="en-GB"/>
        </w:rPr>
        <w:t>face</w:t>
      </w:r>
      <w:r w:rsidR="006A60AC">
        <w:rPr>
          <w:lang w:val="en-GB"/>
        </w:rPr>
        <w:t>d</w:t>
      </w:r>
      <w:r w:rsidR="006A60AC" w:rsidRPr="00785276">
        <w:rPr>
          <w:lang w:val="en-GB"/>
        </w:rPr>
        <w:t xml:space="preserve"> intimidation, harassment</w:t>
      </w:r>
      <w:r w:rsidR="006A60AC">
        <w:rPr>
          <w:lang w:val="en-GB"/>
        </w:rPr>
        <w:t xml:space="preserve">, </w:t>
      </w:r>
      <w:r w:rsidR="006A60AC" w:rsidRPr="00785276">
        <w:rPr>
          <w:lang w:val="en-GB"/>
        </w:rPr>
        <w:t xml:space="preserve">violence </w:t>
      </w:r>
      <w:r w:rsidR="006A60AC">
        <w:rPr>
          <w:lang w:val="en-GB"/>
        </w:rPr>
        <w:t xml:space="preserve">and repression </w:t>
      </w:r>
      <w:r w:rsidR="006A60AC" w:rsidRPr="00785276">
        <w:rPr>
          <w:lang w:val="en-GB"/>
        </w:rPr>
        <w:t>from authorities</w:t>
      </w:r>
      <w:r w:rsidR="006A60AC">
        <w:rPr>
          <w:lang w:val="en-GB"/>
        </w:rPr>
        <w:t xml:space="preserve"> when acting as human rights defenders</w:t>
      </w:r>
      <w:r w:rsidR="009674ED">
        <w:rPr>
          <w:lang w:val="en-GB"/>
        </w:rPr>
        <w:t>,</w:t>
      </w:r>
      <w:r w:rsidR="006F2A03">
        <w:rPr>
          <w:lang w:val="en-GB"/>
        </w:rPr>
        <w:t xml:space="preserve"> and children </w:t>
      </w:r>
      <w:r w:rsidR="006F2A03" w:rsidRPr="00C86332">
        <w:rPr>
          <w:lang w:val="en-GB"/>
        </w:rPr>
        <w:t xml:space="preserve">living in humanitarian contexts or </w:t>
      </w:r>
      <w:r w:rsidR="006F2A03">
        <w:rPr>
          <w:lang w:val="en-GB"/>
        </w:rPr>
        <w:t xml:space="preserve">in </w:t>
      </w:r>
      <w:r w:rsidR="006F2A03" w:rsidRPr="00C86332">
        <w:rPr>
          <w:lang w:val="en-GB"/>
        </w:rPr>
        <w:t xml:space="preserve">situation of armed conflict </w:t>
      </w:r>
      <w:r w:rsidR="006F2A03">
        <w:rPr>
          <w:lang w:val="en-GB"/>
        </w:rPr>
        <w:t>were found</w:t>
      </w:r>
      <w:r w:rsidR="006F2A03" w:rsidRPr="00C86332">
        <w:rPr>
          <w:lang w:val="en-GB"/>
        </w:rPr>
        <w:t xml:space="preserve"> particularly vulnerable to intimidation </w:t>
      </w:r>
      <w:r w:rsidR="006F2A03">
        <w:rPr>
          <w:lang w:val="en-GB"/>
        </w:rPr>
        <w:t>and</w:t>
      </w:r>
      <w:r w:rsidR="006F2A03" w:rsidRPr="00C86332">
        <w:rPr>
          <w:lang w:val="en-GB"/>
        </w:rPr>
        <w:t xml:space="preserve"> reprisals</w:t>
      </w:r>
      <w:r w:rsidR="006A2C1A">
        <w:rPr>
          <w:lang w:val="en-GB"/>
        </w:rPr>
        <w:t xml:space="preserve">. </w:t>
      </w:r>
    </w:p>
    <w:p w14:paraId="72EDD27A" w14:textId="77777777" w:rsidR="00AD693D" w:rsidRDefault="00AD693D" w:rsidP="006F2A03">
      <w:pPr>
        <w:spacing w:after="0" w:line="240" w:lineRule="auto"/>
        <w:jc w:val="both"/>
        <w:rPr>
          <w:lang w:val="en-GB"/>
        </w:rPr>
      </w:pPr>
    </w:p>
    <w:p w14:paraId="0A8D51CD" w14:textId="2C0C641C" w:rsidR="006A2C1A" w:rsidRPr="00C86332" w:rsidRDefault="00AD693D" w:rsidP="006F2A03">
      <w:pPr>
        <w:spacing w:after="0" w:line="240" w:lineRule="auto"/>
        <w:jc w:val="both"/>
        <w:rPr>
          <w:lang w:val="en-GB"/>
        </w:rPr>
      </w:pPr>
      <w:r>
        <w:rPr>
          <w:lang w:val="en-GB"/>
        </w:rPr>
        <w:t>R</w:t>
      </w:r>
      <w:r w:rsidR="006A2C1A" w:rsidRPr="007902AC">
        <w:rPr>
          <w:lang w:val="en-GB"/>
        </w:rPr>
        <w:t xml:space="preserve">eprisals against </w:t>
      </w:r>
      <w:r>
        <w:rPr>
          <w:lang w:val="en-GB"/>
        </w:rPr>
        <w:t xml:space="preserve">children human rights defenders and their families have also taken place in the context of promoting dialogue on and </w:t>
      </w:r>
      <w:r w:rsidR="006A2C1A" w:rsidRPr="007902AC">
        <w:rPr>
          <w:lang w:val="en-GB"/>
        </w:rPr>
        <w:t>implementation of the recommendations of the Committe</w:t>
      </w:r>
      <w:r>
        <w:rPr>
          <w:lang w:val="en-GB"/>
        </w:rPr>
        <w:t>e at the national level.</w:t>
      </w:r>
      <w:r>
        <w:rPr>
          <w:rStyle w:val="FootnoteReference"/>
          <w:lang w:val="en-GB"/>
        </w:rPr>
        <w:footnoteReference w:id="15"/>
      </w:r>
    </w:p>
    <w:p w14:paraId="434EFC26" w14:textId="77777777" w:rsidR="00762DB6" w:rsidRDefault="00762DB6" w:rsidP="00B94F04">
      <w:pPr>
        <w:spacing w:after="0" w:line="240" w:lineRule="auto"/>
        <w:jc w:val="both"/>
        <w:rPr>
          <w:rFonts w:ascii="Calibri" w:eastAsia="Times New Roman" w:hAnsi="Calibri" w:cs="Calibri"/>
          <w:lang w:val="en-GB" w:eastAsia="en-GB"/>
        </w:rPr>
      </w:pPr>
    </w:p>
    <w:p w14:paraId="5DC5FA21" w14:textId="79CBD06C" w:rsidR="00424FBB" w:rsidRPr="00C87691" w:rsidRDefault="002D0981" w:rsidP="00B94F04">
      <w:pPr>
        <w:spacing w:after="0" w:line="240" w:lineRule="auto"/>
        <w:jc w:val="both"/>
        <w:rPr>
          <w:lang w:val="en-GB"/>
        </w:rPr>
      </w:pPr>
      <w:r>
        <w:rPr>
          <w:rFonts w:ascii="Calibri" w:eastAsia="Times New Roman" w:hAnsi="Calibri" w:cs="Calibri"/>
          <w:lang w:val="en-GB" w:eastAsia="en-GB"/>
        </w:rPr>
        <w:t>Addit</w:t>
      </w:r>
      <w:r w:rsidR="006F2A03">
        <w:rPr>
          <w:rFonts w:ascii="Calibri" w:eastAsia="Times New Roman" w:hAnsi="Calibri" w:cs="Calibri"/>
          <w:lang w:val="en-GB" w:eastAsia="en-GB"/>
        </w:rPr>
        <w:t>i</w:t>
      </w:r>
      <w:r>
        <w:rPr>
          <w:rFonts w:ascii="Calibri" w:eastAsia="Times New Roman" w:hAnsi="Calibri" w:cs="Calibri"/>
          <w:lang w:val="en-GB" w:eastAsia="en-GB"/>
        </w:rPr>
        <w:t>onally,</w:t>
      </w:r>
      <w:r w:rsidR="00F56F00">
        <w:rPr>
          <w:rFonts w:ascii="Calibri" w:eastAsia="Times New Roman" w:hAnsi="Calibri" w:cs="Calibri"/>
          <w:lang w:val="en-GB" w:eastAsia="en-GB"/>
        </w:rPr>
        <w:t xml:space="preserve"> </w:t>
      </w:r>
      <w:r>
        <w:rPr>
          <w:rFonts w:ascii="Calibri" w:eastAsia="Times New Roman" w:hAnsi="Calibri" w:cs="Calibri"/>
          <w:lang w:val="en-GB" w:eastAsia="en-GB"/>
        </w:rPr>
        <w:t>s</w:t>
      </w:r>
      <w:r w:rsidR="00D75A6D">
        <w:rPr>
          <w:rFonts w:ascii="Calibri" w:eastAsia="Times New Roman" w:hAnsi="Calibri" w:cs="Calibri"/>
          <w:lang w:val="en-GB" w:eastAsia="en-GB"/>
        </w:rPr>
        <w:t>ubmissions to and discussions during the DGD showed how violence against children happens in many ways</w:t>
      </w:r>
      <w:r>
        <w:rPr>
          <w:rFonts w:ascii="Calibri" w:eastAsia="Times New Roman" w:hAnsi="Calibri" w:cs="Calibri"/>
          <w:lang w:val="en-GB" w:eastAsia="en-GB"/>
        </w:rPr>
        <w:t>,</w:t>
      </w:r>
      <w:r w:rsidR="006F2A03">
        <w:rPr>
          <w:rFonts w:ascii="Calibri" w:eastAsia="Times New Roman" w:hAnsi="Calibri" w:cs="Calibri"/>
          <w:lang w:val="en-GB" w:eastAsia="en-GB"/>
        </w:rPr>
        <w:t xml:space="preserve"> </w:t>
      </w:r>
      <w:r>
        <w:rPr>
          <w:rFonts w:ascii="Calibri" w:eastAsia="Times New Roman" w:hAnsi="Calibri" w:cs="Calibri"/>
          <w:lang w:val="en-GB" w:eastAsia="en-GB"/>
        </w:rPr>
        <w:t>hindering children’s ability to act as human rights defenders.</w:t>
      </w:r>
      <w:r w:rsidR="00762DB6">
        <w:rPr>
          <w:lang w:val="en-GB"/>
        </w:rPr>
        <w:t xml:space="preserve"> </w:t>
      </w:r>
      <w:r w:rsidR="00035F46">
        <w:rPr>
          <w:rFonts w:ascii="Calibri" w:eastAsia="Times New Roman" w:hAnsi="Calibri" w:cs="Calibri"/>
          <w:lang w:val="en-GB" w:eastAsia="en-GB"/>
        </w:rPr>
        <w:t>Children mentioned cases of</w:t>
      </w:r>
      <w:r w:rsidR="00035F46" w:rsidRPr="00D75A6D">
        <w:rPr>
          <w:lang w:val="en-GB"/>
        </w:rPr>
        <w:t xml:space="preserve"> domestic violence</w:t>
      </w:r>
      <w:r w:rsidR="00035F46">
        <w:rPr>
          <w:lang w:val="en-GB"/>
        </w:rPr>
        <w:t xml:space="preserve">, </w:t>
      </w:r>
      <w:r w:rsidR="00035F46" w:rsidRPr="00D75A6D">
        <w:rPr>
          <w:lang w:val="en-GB"/>
        </w:rPr>
        <w:t>sexual and gender-based violence</w:t>
      </w:r>
      <w:r w:rsidR="00035F46">
        <w:rPr>
          <w:lang w:val="en-GB"/>
        </w:rPr>
        <w:t xml:space="preserve"> and abuse</w:t>
      </w:r>
      <w:r w:rsidR="00035F46" w:rsidRPr="00D75A6D">
        <w:rPr>
          <w:lang w:val="en-GB"/>
        </w:rPr>
        <w:t>,</w:t>
      </w:r>
      <w:r w:rsidR="00035F46">
        <w:rPr>
          <w:lang w:val="en-GB"/>
        </w:rPr>
        <w:t xml:space="preserve"> violence in schools, online violence, </w:t>
      </w:r>
      <w:r w:rsidR="00035F46" w:rsidRPr="00D75A6D">
        <w:rPr>
          <w:lang w:val="en-GB"/>
        </w:rPr>
        <w:t xml:space="preserve">sexual exploitation </w:t>
      </w:r>
      <w:r w:rsidR="00035F46">
        <w:rPr>
          <w:lang w:val="en-GB"/>
        </w:rPr>
        <w:t xml:space="preserve">and </w:t>
      </w:r>
      <w:r w:rsidR="00035F46" w:rsidRPr="00D75A6D">
        <w:rPr>
          <w:lang w:val="en-GB"/>
        </w:rPr>
        <w:t>female genital mutilation</w:t>
      </w:r>
      <w:r w:rsidR="00035F46">
        <w:rPr>
          <w:lang w:val="en-GB"/>
        </w:rPr>
        <w:t xml:space="preserve">, and </w:t>
      </w:r>
      <w:r w:rsidR="00035F46" w:rsidRPr="00D75A6D">
        <w:rPr>
          <w:lang w:val="en-GB"/>
        </w:rPr>
        <w:t>physical and/or emotional</w:t>
      </w:r>
      <w:r w:rsidR="00035F46">
        <w:rPr>
          <w:lang w:val="en-GB"/>
        </w:rPr>
        <w:t xml:space="preserve"> violence suffered by</w:t>
      </w:r>
      <w:r w:rsidR="00035F46" w:rsidRPr="00754273">
        <w:rPr>
          <w:lang w:val="en-GB"/>
        </w:rPr>
        <w:t xml:space="preserve"> </w:t>
      </w:r>
      <w:r w:rsidR="00035F46">
        <w:rPr>
          <w:lang w:val="en-GB"/>
        </w:rPr>
        <w:t>children in conflict situations, among other types.</w:t>
      </w:r>
      <w:r w:rsidR="006F2A03">
        <w:rPr>
          <w:rStyle w:val="FootnoteReference"/>
          <w:lang w:val="en-GB"/>
        </w:rPr>
        <w:footnoteReference w:id="16"/>
      </w:r>
    </w:p>
    <w:p w14:paraId="0B9A66AA" w14:textId="5DAA93D7" w:rsidR="00AF5984" w:rsidRPr="00AF5984" w:rsidRDefault="00AF5984" w:rsidP="00D75A6D">
      <w:pPr>
        <w:spacing w:after="0" w:line="240" w:lineRule="auto"/>
        <w:jc w:val="both"/>
        <w:rPr>
          <w:rFonts w:ascii="Calibri" w:eastAsia="Times New Roman" w:hAnsi="Calibri" w:cs="Calibri"/>
          <w:lang w:val="en-GB" w:eastAsia="en-GB"/>
        </w:rPr>
      </w:pPr>
    </w:p>
    <w:p w14:paraId="527F0293" w14:textId="6440511A" w:rsidR="002D0981" w:rsidRPr="00D75A6D" w:rsidRDefault="00AF5984" w:rsidP="002D0981">
      <w:pPr>
        <w:spacing w:after="0" w:line="240" w:lineRule="auto"/>
        <w:jc w:val="both"/>
        <w:rPr>
          <w:lang w:val="en-GB"/>
        </w:rPr>
      </w:pPr>
      <w:r w:rsidRPr="00D75A6D">
        <w:rPr>
          <w:lang w:val="en-GB"/>
        </w:rPr>
        <w:t>States part</w:t>
      </w:r>
      <w:r w:rsidR="00CD4132">
        <w:rPr>
          <w:lang w:val="en-GB"/>
        </w:rPr>
        <w:t>y to the Convention on the Rights of the Child (CRC)</w:t>
      </w:r>
      <w:r w:rsidRPr="00D75A6D">
        <w:rPr>
          <w:lang w:val="en-GB"/>
        </w:rPr>
        <w:t xml:space="preserve"> are bound to apply specific safeguards to ensure that children are not harmed</w:t>
      </w:r>
      <w:r w:rsidR="00CD4132">
        <w:rPr>
          <w:lang w:val="en-GB"/>
        </w:rPr>
        <w:t>.</w:t>
      </w:r>
      <w:r w:rsidR="00004B07">
        <w:rPr>
          <w:rStyle w:val="FootnoteReference"/>
          <w:lang w:val="en-GB"/>
        </w:rPr>
        <w:footnoteReference w:id="17"/>
      </w:r>
      <w:r w:rsidR="00CD4132">
        <w:rPr>
          <w:lang w:val="en-GB"/>
        </w:rPr>
        <w:t xml:space="preserve"> </w:t>
      </w:r>
      <w:r w:rsidR="00E26D63">
        <w:rPr>
          <w:lang w:val="en-GB"/>
        </w:rPr>
        <w:t xml:space="preserve">States should adopt </w:t>
      </w:r>
      <w:r w:rsidR="002D0981" w:rsidRPr="00424FBB">
        <w:rPr>
          <w:lang w:val="en-GB"/>
        </w:rPr>
        <w:t>a “holistic security”</w:t>
      </w:r>
      <w:r w:rsidR="00E26D63">
        <w:rPr>
          <w:lang w:val="en-GB"/>
        </w:rPr>
        <w:t xml:space="preserve"> approach by taking the necessary protection measures to ensure</w:t>
      </w:r>
      <w:r w:rsidR="002D0981" w:rsidRPr="00424FBB">
        <w:rPr>
          <w:lang w:val="en-GB"/>
        </w:rPr>
        <w:t xml:space="preserve"> that children are not subject to any human rights </w:t>
      </w:r>
      <w:r w:rsidR="002D0981" w:rsidRPr="00424FBB">
        <w:rPr>
          <w:lang w:val="en-GB"/>
        </w:rPr>
        <w:lastRenderedPageBreak/>
        <w:t xml:space="preserve">violations </w:t>
      </w:r>
      <w:proofErr w:type="gramStart"/>
      <w:r w:rsidR="002D0981" w:rsidRPr="00424FBB">
        <w:rPr>
          <w:lang w:val="en-GB"/>
        </w:rPr>
        <w:t>as a consequence of</w:t>
      </w:r>
      <w:proofErr w:type="gramEnd"/>
      <w:r w:rsidR="002D0981" w:rsidRPr="00424FBB">
        <w:rPr>
          <w:lang w:val="en-GB"/>
        </w:rPr>
        <w:t xml:space="preserve"> their actions as human rights defenders</w:t>
      </w:r>
      <w:r w:rsidR="00E26D63">
        <w:rPr>
          <w:lang w:val="en-GB"/>
        </w:rPr>
        <w:t xml:space="preserve">. </w:t>
      </w:r>
      <w:r w:rsidR="009674ED">
        <w:rPr>
          <w:lang w:val="en-GB"/>
        </w:rPr>
        <w:t>Protection should be provided by adults</w:t>
      </w:r>
      <w:r w:rsidR="00E26D63">
        <w:rPr>
          <w:lang w:val="en-GB"/>
        </w:rPr>
        <w:t>,</w:t>
      </w:r>
      <w:r w:rsidR="009674ED">
        <w:rPr>
          <w:lang w:val="en-GB"/>
        </w:rPr>
        <w:t xml:space="preserve"> and children should be taught </w:t>
      </w:r>
      <w:r w:rsidR="00B41932">
        <w:rPr>
          <w:lang w:val="en-GB"/>
        </w:rPr>
        <w:t>how</w:t>
      </w:r>
      <w:r w:rsidR="002D0981" w:rsidRPr="00424FBB">
        <w:rPr>
          <w:lang w:val="en-GB"/>
        </w:rPr>
        <w:t xml:space="preserve"> to protect themselves.</w:t>
      </w:r>
      <w:r w:rsidR="00E26D63">
        <w:rPr>
          <w:rStyle w:val="FootnoteReference"/>
          <w:lang w:val="en-GB"/>
        </w:rPr>
        <w:footnoteReference w:id="18"/>
      </w:r>
    </w:p>
    <w:p w14:paraId="09E346FC" w14:textId="77777777" w:rsidR="00D75A6D" w:rsidRDefault="00D75A6D" w:rsidP="00B94F04">
      <w:pPr>
        <w:spacing w:after="0" w:line="240" w:lineRule="auto"/>
        <w:jc w:val="both"/>
        <w:rPr>
          <w:i/>
          <w:lang w:val="en-GB"/>
        </w:rPr>
      </w:pPr>
    </w:p>
    <w:p w14:paraId="2D6445F5" w14:textId="1A88F65A" w:rsidR="00747E94" w:rsidRDefault="004B2408" w:rsidP="00B94F04">
      <w:pPr>
        <w:spacing w:after="0" w:line="240" w:lineRule="auto"/>
        <w:jc w:val="both"/>
        <w:rPr>
          <w:lang w:val="en-GB"/>
        </w:rPr>
      </w:pPr>
      <w:r>
        <w:rPr>
          <w:lang w:val="en-GB"/>
        </w:rPr>
        <w:t xml:space="preserve">As </w:t>
      </w:r>
      <w:r w:rsidR="00D75A6D">
        <w:rPr>
          <w:lang w:val="en-GB"/>
        </w:rPr>
        <w:t xml:space="preserve">a </w:t>
      </w:r>
      <w:r>
        <w:rPr>
          <w:lang w:val="en-GB"/>
        </w:rPr>
        <w:t xml:space="preserve">good </w:t>
      </w:r>
      <w:r w:rsidR="00D75A6D">
        <w:rPr>
          <w:lang w:val="en-GB"/>
        </w:rPr>
        <w:t>practice</w:t>
      </w:r>
      <w:r>
        <w:rPr>
          <w:lang w:val="en-GB"/>
        </w:rPr>
        <w:t>, a child-led group in India has</w:t>
      </w:r>
      <w:r w:rsidR="00AF5984" w:rsidRPr="00AF5984">
        <w:rPr>
          <w:lang w:val="en-GB"/>
        </w:rPr>
        <w:t xml:space="preserve"> mobilise</w:t>
      </w:r>
      <w:r>
        <w:rPr>
          <w:lang w:val="en-GB"/>
        </w:rPr>
        <w:t>d</w:t>
      </w:r>
      <w:r w:rsidR="00AF5984" w:rsidRPr="00AF5984">
        <w:rPr>
          <w:lang w:val="en-GB"/>
        </w:rPr>
        <w:t xml:space="preserve"> community leaders and local authorities on issues of sexual exploitation in tourism.</w:t>
      </w:r>
      <w:r>
        <w:rPr>
          <w:lang w:val="en-GB"/>
        </w:rPr>
        <w:t xml:space="preserve"> </w:t>
      </w:r>
      <w:r w:rsidR="0030614C">
        <w:rPr>
          <w:lang w:val="en-GB"/>
        </w:rPr>
        <w:t xml:space="preserve">A </w:t>
      </w:r>
      <w:r>
        <w:rPr>
          <w:lang w:val="en-GB"/>
        </w:rPr>
        <w:t xml:space="preserve">Bangladeshi </w:t>
      </w:r>
      <w:r w:rsidR="0030614C">
        <w:rPr>
          <w:lang w:val="en-GB"/>
        </w:rPr>
        <w:t xml:space="preserve">child-led </w:t>
      </w:r>
      <w:r w:rsidR="00747E94" w:rsidRPr="00747E94">
        <w:rPr>
          <w:lang w:val="en-GB"/>
        </w:rPr>
        <w:t xml:space="preserve">coalition </w:t>
      </w:r>
      <w:r>
        <w:rPr>
          <w:lang w:val="en-GB"/>
        </w:rPr>
        <w:t>that advocates</w:t>
      </w:r>
      <w:r w:rsidR="00747E94" w:rsidRPr="00747E94">
        <w:rPr>
          <w:lang w:val="en-GB"/>
        </w:rPr>
        <w:t xml:space="preserve"> for ending violence against children and child marriage</w:t>
      </w:r>
      <w:r>
        <w:rPr>
          <w:lang w:val="en-GB"/>
        </w:rPr>
        <w:t xml:space="preserve">, in </w:t>
      </w:r>
      <w:r w:rsidR="00747E94" w:rsidRPr="00747E94">
        <w:rPr>
          <w:lang w:val="en-GB"/>
        </w:rPr>
        <w:t xml:space="preserve">collaboration </w:t>
      </w:r>
      <w:r>
        <w:rPr>
          <w:lang w:val="en-GB"/>
        </w:rPr>
        <w:t>with different stakeholders including</w:t>
      </w:r>
      <w:r w:rsidR="00747E94" w:rsidRPr="00747E94">
        <w:rPr>
          <w:lang w:val="en-GB"/>
        </w:rPr>
        <w:t xml:space="preserve"> government, parents, schools and religious leaders, set up a helpline </w:t>
      </w:r>
      <w:r w:rsidR="00754273">
        <w:rPr>
          <w:lang w:val="en-GB"/>
        </w:rPr>
        <w:t>for</w:t>
      </w:r>
      <w:r w:rsidR="00747E94" w:rsidRPr="00747E94">
        <w:rPr>
          <w:lang w:val="en-GB"/>
        </w:rPr>
        <w:t xml:space="preserve"> cases of child marriage</w:t>
      </w:r>
      <w:r>
        <w:rPr>
          <w:lang w:val="en-GB"/>
        </w:rPr>
        <w:t xml:space="preserve">. </w:t>
      </w:r>
      <w:r w:rsidR="00747E94" w:rsidRPr="00747E94">
        <w:rPr>
          <w:lang w:val="en-GB"/>
        </w:rPr>
        <w:t>A child-friendly helpdesk was also established in a police station to respond to cases of violence against children.</w:t>
      </w:r>
      <w:r>
        <w:rPr>
          <w:rStyle w:val="FootnoteReference"/>
          <w:lang w:val="en-GB"/>
        </w:rPr>
        <w:footnoteReference w:id="19"/>
      </w:r>
    </w:p>
    <w:p w14:paraId="62954443" w14:textId="77777777" w:rsidR="004B2408" w:rsidRPr="00747E94" w:rsidRDefault="004B2408" w:rsidP="00B94F04">
      <w:pPr>
        <w:spacing w:after="0" w:line="240" w:lineRule="auto"/>
        <w:jc w:val="both"/>
        <w:rPr>
          <w:b/>
          <w:i/>
          <w:lang w:val="en-GB"/>
        </w:rPr>
      </w:pPr>
    </w:p>
    <w:p w14:paraId="2DD5AAE4" w14:textId="34B358E3" w:rsidR="0026207B" w:rsidRPr="00613376" w:rsidRDefault="00754273" w:rsidP="0026207B">
      <w:pPr>
        <w:spacing w:after="0" w:line="240" w:lineRule="auto"/>
        <w:jc w:val="both"/>
        <w:rPr>
          <w:lang w:val="en-GB"/>
        </w:rPr>
      </w:pPr>
      <w:r w:rsidRPr="00754273">
        <w:rPr>
          <w:rFonts w:ascii="Calibri" w:eastAsia="Times New Roman" w:hAnsi="Calibri" w:cs="Calibri"/>
          <w:b/>
          <w:bCs/>
          <w:lang w:val="en-GB" w:eastAsia="en-GB"/>
        </w:rPr>
        <w:t xml:space="preserve">Target </w:t>
      </w:r>
      <w:r w:rsidR="00811C5F" w:rsidRPr="00754273">
        <w:rPr>
          <w:rFonts w:ascii="Calibri" w:eastAsia="Times New Roman" w:hAnsi="Calibri" w:cs="Calibri"/>
          <w:b/>
          <w:lang w:val="en-GB" w:eastAsia="en-GB"/>
        </w:rPr>
        <w:t>16.3</w:t>
      </w:r>
      <w:r w:rsidR="00D91528">
        <w:rPr>
          <w:rFonts w:ascii="Calibri" w:eastAsia="Times New Roman" w:hAnsi="Calibri" w:cs="Calibri"/>
          <w:b/>
          <w:lang w:val="en-GB" w:eastAsia="en-GB"/>
        </w:rPr>
        <w:t>:</w:t>
      </w:r>
      <w:r w:rsidR="00811C5F" w:rsidRPr="00754273">
        <w:rPr>
          <w:rFonts w:ascii="Calibri" w:eastAsia="Times New Roman" w:hAnsi="Calibri" w:cs="Calibri"/>
          <w:b/>
          <w:lang w:val="en-GB" w:eastAsia="en-GB"/>
        </w:rPr>
        <w:t xml:space="preserve"> Promote the rule of law at the national and international levels and ensure equal access to justice for all</w:t>
      </w:r>
      <w:r w:rsidR="00D91528">
        <w:rPr>
          <w:rFonts w:ascii="Calibri" w:eastAsia="Times New Roman" w:hAnsi="Calibri" w:cs="Calibri"/>
          <w:b/>
          <w:lang w:val="en-GB" w:eastAsia="en-GB"/>
        </w:rPr>
        <w:t>,</w:t>
      </w:r>
      <w:r w:rsidRPr="00754273">
        <w:rPr>
          <w:rFonts w:ascii="Calibri" w:eastAsia="Times New Roman" w:hAnsi="Calibri" w:cs="Calibri"/>
          <w:b/>
          <w:lang w:val="en-GB" w:eastAsia="en-GB"/>
        </w:rPr>
        <w:t xml:space="preserve"> and Target </w:t>
      </w:r>
      <w:r w:rsidRPr="00754273">
        <w:rPr>
          <w:b/>
          <w:lang w:val="en-GB"/>
        </w:rPr>
        <w:t>16.6</w:t>
      </w:r>
      <w:r w:rsidR="00D91528">
        <w:rPr>
          <w:b/>
          <w:lang w:val="en-GB"/>
        </w:rPr>
        <w:t>:</w:t>
      </w:r>
      <w:r w:rsidRPr="00754273">
        <w:rPr>
          <w:b/>
          <w:lang w:val="en-GB"/>
        </w:rPr>
        <w:t xml:space="preserve"> </w:t>
      </w:r>
      <w:r w:rsidRPr="00754273">
        <w:rPr>
          <w:rFonts w:ascii="Calibri" w:eastAsia="Times New Roman" w:hAnsi="Calibri" w:cs="Calibri"/>
          <w:b/>
          <w:lang w:val="en-GB" w:eastAsia="en-GB"/>
        </w:rPr>
        <w:t>Develop effective, accountable and transparent institutions at all levels</w:t>
      </w:r>
      <w:r w:rsidR="008E790A" w:rsidRPr="00754273">
        <w:rPr>
          <w:rFonts w:ascii="Calibri" w:eastAsia="Times New Roman" w:hAnsi="Calibri" w:cs="Calibri"/>
          <w:b/>
          <w:lang w:val="en-GB" w:eastAsia="en-GB"/>
        </w:rPr>
        <w:t>:</w:t>
      </w:r>
      <w:r w:rsidR="008E790A">
        <w:rPr>
          <w:rFonts w:ascii="Calibri" w:eastAsia="Times New Roman" w:hAnsi="Calibri" w:cs="Calibri"/>
          <w:lang w:val="en-GB" w:eastAsia="en-GB"/>
        </w:rPr>
        <w:t xml:space="preserve"> </w:t>
      </w:r>
      <w:r w:rsidR="0026207B" w:rsidRPr="0026207B">
        <w:rPr>
          <w:rFonts w:ascii="Times New Roman" w:hAnsi="Times New Roman" w:cs="Times New Roman"/>
          <w:sz w:val="24"/>
          <w:szCs w:val="24"/>
          <w:lang w:val="en-US"/>
        </w:rPr>
        <w:t xml:space="preserve"> </w:t>
      </w:r>
      <w:r w:rsidR="00D91528">
        <w:rPr>
          <w:lang w:val="en-GB"/>
        </w:rPr>
        <w:t>T</w:t>
      </w:r>
      <w:r w:rsidR="0026207B" w:rsidRPr="00613376">
        <w:rPr>
          <w:lang w:val="en-GB"/>
        </w:rPr>
        <w:t xml:space="preserve">he 2018 DGD also highlighted the absence of safe and child-friendly spaces to receive direct complaints from children, especially within judicial and police bodies. Indeed, the submissions for the background paper of the DGD showed that children </w:t>
      </w:r>
      <w:r w:rsidR="00D91528">
        <w:rPr>
          <w:lang w:val="en-GB"/>
        </w:rPr>
        <w:t xml:space="preserve">feared </w:t>
      </w:r>
      <w:r w:rsidR="0026207B" w:rsidRPr="00613376">
        <w:rPr>
          <w:lang w:val="en-GB"/>
        </w:rPr>
        <w:t>going to police stations to report cases of mistreatment or violence because they were afraid of not being taken seriously or were too scared of the police. It was highlighted that in some sub-regional contexts, children usually do not feel safe to talk in public because cultural practice encourages them to just listen and keep their opinions to themselves. Existing spaces are not suited for children to report and can be an intimidating and traumatizing experience.</w:t>
      </w:r>
      <w:r w:rsidR="004C336A" w:rsidRPr="00613376">
        <w:rPr>
          <w:rStyle w:val="FootnoteReference"/>
        </w:rPr>
        <w:footnoteReference w:id="20"/>
      </w:r>
    </w:p>
    <w:p w14:paraId="7F4C9FCE" w14:textId="77777777" w:rsidR="0026207B" w:rsidRDefault="0026207B" w:rsidP="00B94F04">
      <w:pPr>
        <w:spacing w:after="0" w:line="240" w:lineRule="auto"/>
        <w:jc w:val="both"/>
        <w:rPr>
          <w:rFonts w:ascii="Calibri" w:eastAsia="Times New Roman" w:hAnsi="Calibri" w:cs="Calibri"/>
          <w:highlight w:val="yellow"/>
          <w:lang w:val="en-GB" w:eastAsia="en-GB"/>
        </w:rPr>
      </w:pPr>
    </w:p>
    <w:p w14:paraId="0387DF46" w14:textId="1FC39424" w:rsidR="006B63B1" w:rsidRPr="006B63B1" w:rsidRDefault="006B63B1" w:rsidP="00B94F04">
      <w:pPr>
        <w:spacing w:after="0" w:line="240" w:lineRule="auto"/>
        <w:jc w:val="both"/>
        <w:rPr>
          <w:lang w:val="en-GB"/>
        </w:rPr>
      </w:pPr>
      <w:r w:rsidRPr="00754273">
        <w:rPr>
          <w:lang w:val="en-GB"/>
        </w:rPr>
        <w:t>Children should be able to participate in accountability mechanisms and have access to effective remedies</w:t>
      </w:r>
      <w:r w:rsidRPr="006B63B1">
        <w:rPr>
          <w:lang w:val="en-GB"/>
        </w:rPr>
        <w:t xml:space="preserve"> for violations of their rights as human rights defenders,</w:t>
      </w:r>
      <w:r w:rsidRPr="006B63B1">
        <w:rPr>
          <w:b/>
          <w:lang w:val="en-GB"/>
        </w:rPr>
        <w:t xml:space="preserve"> </w:t>
      </w:r>
      <w:r w:rsidRPr="006B63B1">
        <w:rPr>
          <w:lang w:val="en-GB"/>
        </w:rPr>
        <w:t xml:space="preserve">whether at </w:t>
      </w:r>
      <w:r w:rsidR="00A10044">
        <w:rPr>
          <w:lang w:val="en-GB"/>
        </w:rPr>
        <w:t xml:space="preserve">the </w:t>
      </w:r>
      <w:r w:rsidRPr="006B63B1">
        <w:rPr>
          <w:lang w:val="en-GB"/>
        </w:rPr>
        <w:t>national, regional and international levels. This implies providing all children with information about their rights and where to seek redress in a child</w:t>
      </w:r>
      <w:r w:rsidR="00A10044">
        <w:rPr>
          <w:lang w:val="en-GB"/>
        </w:rPr>
        <w:t>-</w:t>
      </w:r>
      <w:r w:rsidRPr="006B63B1">
        <w:rPr>
          <w:lang w:val="en-GB"/>
        </w:rPr>
        <w:t xml:space="preserve">friendly manner; ensuring their access to support services, legal and paralegal aid; and adapting judicial and non-judicial mechanisms, including National Human Rights Institutions, to children’s </w:t>
      </w:r>
      <w:proofErr w:type="gramStart"/>
      <w:r w:rsidRPr="006B63B1">
        <w:rPr>
          <w:lang w:val="en-GB"/>
        </w:rPr>
        <w:t>particular rights</w:t>
      </w:r>
      <w:proofErr w:type="gramEnd"/>
      <w:r w:rsidRPr="006B63B1">
        <w:rPr>
          <w:lang w:val="en-GB"/>
        </w:rPr>
        <w:t xml:space="preserve"> and </w:t>
      </w:r>
      <w:r w:rsidRPr="00754273">
        <w:rPr>
          <w:color w:val="000000" w:themeColor="text1"/>
          <w:lang w:val="en-GB"/>
        </w:rPr>
        <w:t xml:space="preserve">needs. In this context, it is important that States ratify the </w:t>
      </w:r>
      <w:r w:rsidRPr="00754273">
        <w:rPr>
          <w:rStyle w:val="Hyperlink"/>
          <w:color w:val="000000" w:themeColor="text1"/>
          <w:u w:val="none"/>
          <w:lang w:val="en-GB"/>
        </w:rPr>
        <w:t xml:space="preserve">Optional Protocol to </w:t>
      </w:r>
      <w:r w:rsidR="00A10044">
        <w:rPr>
          <w:rStyle w:val="Hyperlink"/>
          <w:color w:val="000000" w:themeColor="text1"/>
          <w:u w:val="none"/>
          <w:lang w:val="en-GB"/>
        </w:rPr>
        <w:t xml:space="preserve">the </w:t>
      </w:r>
      <w:r w:rsidRPr="00754273">
        <w:rPr>
          <w:rStyle w:val="Hyperlink"/>
          <w:color w:val="000000" w:themeColor="text1"/>
          <w:u w:val="none"/>
          <w:lang w:val="en-GB"/>
        </w:rPr>
        <w:t>CRC on a communications procedure</w:t>
      </w:r>
      <w:r w:rsidRPr="00754273">
        <w:rPr>
          <w:color w:val="000000" w:themeColor="text1"/>
          <w:lang w:val="en-GB"/>
        </w:rPr>
        <w:t xml:space="preserve">, </w:t>
      </w:r>
      <w:r w:rsidRPr="006B63B1">
        <w:rPr>
          <w:lang w:val="en-GB"/>
        </w:rPr>
        <w:t>as children within the</w:t>
      </w:r>
      <w:r>
        <w:rPr>
          <w:lang w:val="en-GB"/>
        </w:rPr>
        <w:t xml:space="preserve"> </w:t>
      </w:r>
      <w:r w:rsidRPr="006B63B1">
        <w:rPr>
          <w:lang w:val="en-GB"/>
        </w:rPr>
        <w:t>jurisdiction of a State party to the Protocol can claim their rights directly before the Committee.</w:t>
      </w:r>
      <w:r w:rsidR="00754273">
        <w:rPr>
          <w:rStyle w:val="FootnoteReference"/>
          <w:lang w:val="en-GB"/>
        </w:rPr>
        <w:footnoteReference w:id="21"/>
      </w:r>
    </w:p>
    <w:p w14:paraId="790FDEAA" w14:textId="77777777" w:rsidR="00811C5F" w:rsidRPr="007B4CD2" w:rsidRDefault="00811C5F" w:rsidP="00B94F04">
      <w:pPr>
        <w:spacing w:after="0" w:line="240" w:lineRule="auto"/>
        <w:jc w:val="both"/>
        <w:rPr>
          <w:rFonts w:ascii="Calibri" w:eastAsia="Times New Roman" w:hAnsi="Calibri" w:cs="Calibri"/>
          <w:lang w:val="en-GB" w:eastAsia="en-GB"/>
        </w:rPr>
      </w:pPr>
    </w:p>
    <w:p w14:paraId="7D0CCEE6" w14:textId="13210D96" w:rsidR="00BB231C" w:rsidRDefault="00754273" w:rsidP="00B94F04">
      <w:pPr>
        <w:spacing w:after="0" w:line="240" w:lineRule="auto"/>
        <w:jc w:val="both"/>
        <w:rPr>
          <w:lang w:val="en-GB"/>
        </w:rPr>
      </w:pPr>
      <w:r w:rsidRPr="00754273">
        <w:rPr>
          <w:b/>
          <w:lang w:val="en-GB"/>
        </w:rPr>
        <w:t xml:space="preserve">Target </w:t>
      </w:r>
      <w:r w:rsidR="00B74135" w:rsidRPr="00754273">
        <w:rPr>
          <w:b/>
          <w:lang w:val="en-GB"/>
        </w:rPr>
        <w:t>16.7</w:t>
      </w:r>
      <w:r w:rsidR="00A10044">
        <w:rPr>
          <w:b/>
          <w:lang w:val="en-GB"/>
        </w:rPr>
        <w:t>:</w:t>
      </w:r>
      <w:r w:rsidR="000567FD" w:rsidRPr="00754273">
        <w:rPr>
          <w:b/>
          <w:lang w:val="en-GB"/>
        </w:rPr>
        <w:t xml:space="preserve"> Ensure responsive, inclusive, participatory and representative decision-making at all levels</w:t>
      </w:r>
      <w:r w:rsidRPr="00754273">
        <w:rPr>
          <w:b/>
          <w:lang w:val="en-GB"/>
        </w:rPr>
        <w:t>:</w:t>
      </w:r>
      <w:r>
        <w:rPr>
          <w:b/>
          <w:lang w:val="en-GB"/>
        </w:rPr>
        <w:t xml:space="preserve"> </w:t>
      </w:r>
      <w:r w:rsidR="00A10044">
        <w:rPr>
          <w:lang w:val="en-GB"/>
        </w:rPr>
        <w:t>M</w:t>
      </w:r>
      <w:r w:rsidR="008E790A" w:rsidRPr="00785276">
        <w:rPr>
          <w:lang w:val="en-GB"/>
        </w:rPr>
        <w:t xml:space="preserve">any countries have not yet institutionalised </w:t>
      </w:r>
      <w:r w:rsidR="000567FD" w:rsidRPr="00CC3844">
        <w:rPr>
          <w:lang w:val="en-GB"/>
        </w:rPr>
        <w:t>child-friendly platforms</w:t>
      </w:r>
      <w:r w:rsidR="000567FD">
        <w:rPr>
          <w:lang w:val="en-GB"/>
        </w:rPr>
        <w:t xml:space="preserve"> and</w:t>
      </w:r>
      <w:r w:rsidR="000567FD" w:rsidRPr="00CC3844">
        <w:rPr>
          <w:lang w:val="en-GB"/>
        </w:rPr>
        <w:t xml:space="preserve"> </w:t>
      </w:r>
      <w:r w:rsidR="008E790A" w:rsidRPr="00785276">
        <w:rPr>
          <w:lang w:val="en-GB"/>
        </w:rPr>
        <w:t>mechanisms to facilitate children’s engagement with local and national decisionmakers</w:t>
      </w:r>
      <w:r w:rsidR="00941845">
        <w:rPr>
          <w:lang w:val="en-GB"/>
        </w:rPr>
        <w:t>.</w:t>
      </w:r>
      <w:r w:rsidR="008E790A">
        <w:rPr>
          <w:lang w:val="en-GB"/>
        </w:rPr>
        <w:t xml:space="preserve"> </w:t>
      </w:r>
    </w:p>
    <w:p w14:paraId="3DE0E54B" w14:textId="72F2AAF9" w:rsidR="000B5751" w:rsidRDefault="000B5751" w:rsidP="00B94F04">
      <w:pPr>
        <w:spacing w:after="0" w:line="240" w:lineRule="auto"/>
        <w:jc w:val="both"/>
        <w:rPr>
          <w:lang w:val="en-GB"/>
        </w:rPr>
      </w:pPr>
    </w:p>
    <w:p w14:paraId="4BB7C6A3" w14:textId="76F31F66" w:rsidR="000B5751" w:rsidRPr="00681B2A" w:rsidRDefault="00681B2A" w:rsidP="00681B2A">
      <w:pPr>
        <w:spacing w:after="0" w:line="240" w:lineRule="auto"/>
        <w:jc w:val="both"/>
        <w:rPr>
          <w:lang w:val="en-GB"/>
        </w:rPr>
      </w:pPr>
      <w:r>
        <w:rPr>
          <w:lang w:val="en-GB"/>
        </w:rPr>
        <w:t xml:space="preserve">The 2018 DGD highlighted how </w:t>
      </w:r>
      <w:r w:rsidRPr="004E2327">
        <w:rPr>
          <w:lang w:val="en-GB"/>
        </w:rPr>
        <w:t>Children’s Parliaments, Children</w:t>
      </w:r>
      <w:r w:rsidRPr="00CC5EA2">
        <w:rPr>
          <w:lang w:val="en-GB"/>
        </w:rPr>
        <w:t>’s</w:t>
      </w:r>
      <w:r w:rsidRPr="004E2327">
        <w:rPr>
          <w:lang w:val="en-GB"/>
        </w:rPr>
        <w:t xml:space="preserve"> Councils </w:t>
      </w:r>
      <w:r w:rsidR="00A10044">
        <w:rPr>
          <w:lang w:val="en-GB"/>
        </w:rPr>
        <w:t>and</w:t>
      </w:r>
      <w:r w:rsidRPr="004E2327">
        <w:rPr>
          <w:lang w:val="en-GB"/>
        </w:rPr>
        <w:t xml:space="preserve"> similar fora </w:t>
      </w:r>
      <w:r w:rsidRPr="00CC5EA2">
        <w:rPr>
          <w:lang w:val="en-GB"/>
        </w:rPr>
        <w:t>supporting children’s participation</w:t>
      </w:r>
      <w:r w:rsidRPr="004E2327">
        <w:rPr>
          <w:lang w:val="en-GB"/>
        </w:rPr>
        <w:t xml:space="preserve"> enable children to mobilize themselves and </w:t>
      </w:r>
      <w:r w:rsidRPr="00CC5EA2">
        <w:rPr>
          <w:lang w:val="en-GB"/>
        </w:rPr>
        <w:t>build</w:t>
      </w:r>
      <w:r w:rsidRPr="004E2327">
        <w:rPr>
          <w:lang w:val="en-GB"/>
        </w:rPr>
        <w:t xml:space="preserve"> a sense of belonging</w:t>
      </w:r>
      <w:r w:rsidRPr="00CC5EA2">
        <w:rPr>
          <w:lang w:val="en-GB"/>
        </w:rPr>
        <w:t xml:space="preserve"> with like-minded peers</w:t>
      </w:r>
      <w:r w:rsidRPr="004E2327">
        <w:rPr>
          <w:lang w:val="en-GB"/>
        </w:rPr>
        <w:t>.</w:t>
      </w:r>
      <w:r>
        <w:rPr>
          <w:lang w:val="en-GB"/>
        </w:rPr>
        <w:t xml:space="preserve"> </w:t>
      </w:r>
      <w:r w:rsidR="00C45970">
        <w:rPr>
          <w:lang w:val="en-GB"/>
        </w:rPr>
        <w:t>T</w:t>
      </w:r>
      <w:r w:rsidR="00C45970" w:rsidRPr="00570851">
        <w:rPr>
          <w:lang w:val="en-GB"/>
        </w:rPr>
        <w:t>he</w:t>
      </w:r>
      <w:r w:rsidR="00570851">
        <w:rPr>
          <w:lang w:val="en-GB"/>
        </w:rPr>
        <w:t>se fora have limitation</w:t>
      </w:r>
      <w:r w:rsidR="00613964">
        <w:rPr>
          <w:lang w:val="en-GB"/>
        </w:rPr>
        <w:t>s</w:t>
      </w:r>
      <w:r w:rsidR="00570851">
        <w:rPr>
          <w:lang w:val="en-GB"/>
        </w:rPr>
        <w:t xml:space="preserve"> </w:t>
      </w:r>
      <w:r w:rsidR="00255ECC">
        <w:rPr>
          <w:lang w:val="en-GB"/>
        </w:rPr>
        <w:t>given that</w:t>
      </w:r>
      <w:r w:rsidR="00A10044">
        <w:rPr>
          <w:lang w:val="en-GB"/>
        </w:rPr>
        <w:t>,</w:t>
      </w:r>
      <w:r w:rsidR="00570851">
        <w:rPr>
          <w:lang w:val="en-GB"/>
        </w:rPr>
        <w:t xml:space="preserve"> in some cases</w:t>
      </w:r>
      <w:r w:rsidR="006A2C1A">
        <w:rPr>
          <w:lang w:val="en-GB"/>
        </w:rPr>
        <w:t>, they lack</w:t>
      </w:r>
      <w:r w:rsidR="00C45970">
        <w:rPr>
          <w:lang w:val="en-GB"/>
        </w:rPr>
        <w:t xml:space="preserve"> </w:t>
      </w:r>
      <w:r w:rsidR="00C45970" w:rsidRPr="00570851">
        <w:rPr>
          <w:lang w:val="en-GB"/>
        </w:rPr>
        <w:t xml:space="preserve">diverse or </w:t>
      </w:r>
      <w:r w:rsidR="00C45970" w:rsidRPr="004E2327">
        <w:rPr>
          <w:lang w:val="en-GB"/>
        </w:rPr>
        <w:t>inclusive</w:t>
      </w:r>
      <w:r w:rsidR="00C45970">
        <w:rPr>
          <w:lang w:val="en-GB"/>
        </w:rPr>
        <w:t xml:space="preserve"> membership</w:t>
      </w:r>
      <w:r w:rsidR="00C45970" w:rsidRPr="004E2327">
        <w:rPr>
          <w:lang w:val="en-GB"/>
        </w:rPr>
        <w:t>,</w:t>
      </w:r>
      <w:r w:rsidR="006A2C1A">
        <w:rPr>
          <w:lang w:val="en-GB"/>
        </w:rPr>
        <w:t xml:space="preserve"> which </w:t>
      </w:r>
      <w:r w:rsidR="006A2C1A" w:rsidRPr="004E2327">
        <w:rPr>
          <w:lang w:val="en-GB"/>
        </w:rPr>
        <w:t>can</w:t>
      </w:r>
      <w:r w:rsidR="006A2C1A">
        <w:rPr>
          <w:lang w:val="en-GB"/>
        </w:rPr>
        <w:t xml:space="preserve"> </w:t>
      </w:r>
      <w:r w:rsidR="006A2C1A" w:rsidRPr="00AD693D">
        <w:rPr>
          <w:lang w:val="en-GB"/>
        </w:rPr>
        <w:t xml:space="preserve">perpetuate patterns of </w:t>
      </w:r>
      <w:r w:rsidR="006A2C1A" w:rsidRPr="004E2327">
        <w:rPr>
          <w:lang w:val="en-GB"/>
        </w:rPr>
        <w:t>inequality and exclusion</w:t>
      </w:r>
      <w:r w:rsidR="00A10044">
        <w:rPr>
          <w:lang w:val="en-GB"/>
        </w:rPr>
        <w:t>.  Further</w:t>
      </w:r>
      <w:r w:rsidR="006A2C1A">
        <w:rPr>
          <w:lang w:val="en-GB"/>
        </w:rPr>
        <w:t xml:space="preserve">, </w:t>
      </w:r>
      <w:r w:rsidR="00C45970">
        <w:rPr>
          <w:lang w:val="en-GB"/>
        </w:rPr>
        <w:t>the</w:t>
      </w:r>
      <w:r w:rsidR="006A2C1A">
        <w:rPr>
          <w:lang w:val="en-GB"/>
        </w:rPr>
        <w:t xml:space="preserve">y </w:t>
      </w:r>
      <w:r w:rsidR="00A10044">
        <w:rPr>
          <w:lang w:val="en-GB"/>
        </w:rPr>
        <w:t xml:space="preserve">can sometimes amount to </w:t>
      </w:r>
      <w:r w:rsidR="00C45970" w:rsidRPr="004E2327">
        <w:rPr>
          <w:lang w:val="en-GB"/>
        </w:rPr>
        <w:t xml:space="preserve">educational </w:t>
      </w:r>
      <w:r w:rsidR="006A2C1A">
        <w:rPr>
          <w:lang w:val="en-GB"/>
        </w:rPr>
        <w:t>structures</w:t>
      </w:r>
      <w:r w:rsidR="00C45970" w:rsidRPr="004E2327">
        <w:rPr>
          <w:lang w:val="en-GB"/>
        </w:rPr>
        <w:t xml:space="preserve"> </w:t>
      </w:r>
      <w:r w:rsidR="00255ECC">
        <w:rPr>
          <w:lang w:val="en-GB"/>
        </w:rPr>
        <w:t>with</w:t>
      </w:r>
      <w:r w:rsidR="00C45970" w:rsidRPr="00570851">
        <w:rPr>
          <w:lang w:val="en-GB"/>
        </w:rPr>
        <w:t xml:space="preserve"> no </w:t>
      </w:r>
      <w:r w:rsidR="006A2C1A">
        <w:rPr>
          <w:lang w:val="en-GB"/>
        </w:rPr>
        <w:t>effective</w:t>
      </w:r>
      <w:r w:rsidR="006A2C1A" w:rsidRPr="00570851">
        <w:rPr>
          <w:lang w:val="en-GB"/>
        </w:rPr>
        <w:t xml:space="preserve"> </w:t>
      </w:r>
      <w:r w:rsidR="00C45970" w:rsidRPr="00570851">
        <w:rPr>
          <w:lang w:val="en-GB"/>
        </w:rPr>
        <w:t xml:space="preserve">mechanism </w:t>
      </w:r>
      <w:r w:rsidR="006A2C1A">
        <w:rPr>
          <w:lang w:val="en-GB"/>
        </w:rPr>
        <w:t xml:space="preserve">to ensure due consideration of </w:t>
      </w:r>
      <w:r w:rsidR="00966140">
        <w:rPr>
          <w:lang w:val="en-GB"/>
        </w:rPr>
        <w:t xml:space="preserve">children’s </w:t>
      </w:r>
      <w:r w:rsidR="00966140" w:rsidRPr="00570851">
        <w:rPr>
          <w:lang w:val="en-GB"/>
        </w:rPr>
        <w:t>views</w:t>
      </w:r>
      <w:r w:rsidR="00C45970" w:rsidRPr="00AD693D">
        <w:rPr>
          <w:lang w:val="en-GB"/>
        </w:rPr>
        <w:t xml:space="preserve"> by politicians and State institutions.</w:t>
      </w:r>
      <w:r w:rsidR="006A2C1A">
        <w:rPr>
          <w:rStyle w:val="FootnoteReference"/>
          <w:lang w:val="en-GB"/>
        </w:rPr>
        <w:footnoteReference w:id="22"/>
      </w:r>
      <w:r w:rsidR="006A2C1A">
        <w:rPr>
          <w:lang w:val="en-GB"/>
        </w:rPr>
        <w:t xml:space="preserve"> </w:t>
      </w:r>
      <w:r w:rsidR="00A10044">
        <w:rPr>
          <w:lang w:val="en-GB"/>
        </w:rPr>
        <w:t>I</w:t>
      </w:r>
      <w:r>
        <w:rPr>
          <w:lang w:val="en-GB"/>
        </w:rPr>
        <w:t xml:space="preserve">n its </w:t>
      </w:r>
      <w:r w:rsidR="000B5751" w:rsidRPr="000B5751">
        <w:rPr>
          <w:lang w:val="en-GB"/>
        </w:rPr>
        <w:t>General Comment n</w:t>
      </w:r>
      <w:r w:rsidR="00A10044">
        <w:rPr>
          <w:lang w:val="en-GB"/>
        </w:rPr>
        <w:t xml:space="preserve">o. </w:t>
      </w:r>
      <w:r w:rsidR="000B5751" w:rsidRPr="000B5751">
        <w:rPr>
          <w:lang w:val="en-GB"/>
        </w:rPr>
        <w:t>12</w:t>
      </w:r>
      <w:r w:rsidR="00613964">
        <w:rPr>
          <w:lang w:val="en-GB"/>
        </w:rPr>
        <w:t xml:space="preserve"> on the right </w:t>
      </w:r>
      <w:r w:rsidR="00A10044">
        <w:rPr>
          <w:lang w:val="en-GB"/>
        </w:rPr>
        <w:t>o</w:t>
      </w:r>
      <w:r w:rsidR="00613964">
        <w:rPr>
          <w:lang w:val="en-GB"/>
        </w:rPr>
        <w:t>f the child to be heard,</w:t>
      </w:r>
      <w:r w:rsidR="000B5751" w:rsidRPr="000B5751">
        <w:rPr>
          <w:lang w:val="en-GB"/>
        </w:rPr>
        <w:t xml:space="preserve"> </w:t>
      </w:r>
      <w:r w:rsidR="00A10044">
        <w:rPr>
          <w:lang w:val="en-GB"/>
        </w:rPr>
        <w:t xml:space="preserve">the Committee </w:t>
      </w:r>
      <w:r w:rsidR="000B5751" w:rsidRPr="00681B2A">
        <w:rPr>
          <w:lang w:val="en-GB"/>
        </w:rPr>
        <w:t>welcome</w:t>
      </w:r>
      <w:r w:rsidR="00A10044">
        <w:rPr>
          <w:lang w:val="en-GB"/>
        </w:rPr>
        <w:t>d</w:t>
      </w:r>
      <w:r w:rsidR="000B5751" w:rsidRPr="00681B2A">
        <w:rPr>
          <w:lang w:val="en-GB"/>
        </w:rPr>
        <w:t xml:space="preserve"> the growing number </w:t>
      </w:r>
      <w:r w:rsidR="00A10044">
        <w:rPr>
          <w:lang w:val="en-GB"/>
        </w:rPr>
        <w:t xml:space="preserve">of </w:t>
      </w:r>
      <w:r w:rsidR="000B5751" w:rsidRPr="00681B2A">
        <w:rPr>
          <w:lang w:val="en-GB"/>
        </w:rPr>
        <w:t xml:space="preserve">youth parliaments, children’s councils </w:t>
      </w:r>
      <w:r w:rsidR="00A10044">
        <w:rPr>
          <w:lang w:val="en-GB"/>
        </w:rPr>
        <w:t>and</w:t>
      </w:r>
      <w:r w:rsidR="000B5751" w:rsidRPr="00681B2A">
        <w:rPr>
          <w:lang w:val="en-GB"/>
        </w:rPr>
        <w:t xml:space="preserve"> ad hoc consultations where </w:t>
      </w:r>
      <w:r w:rsidR="000B5751" w:rsidRPr="00681B2A">
        <w:rPr>
          <w:rFonts w:hint="eastAsia"/>
          <w:lang w:val="en-GB"/>
        </w:rPr>
        <w:t xml:space="preserve">children </w:t>
      </w:r>
      <w:r w:rsidR="000B5751" w:rsidRPr="00681B2A">
        <w:rPr>
          <w:lang w:val="en-GB"/>
        </w:rPr>
        <w:t>can</w:t>
      </w:r>
      <w:r w:rsidR="000B5751" w:rsidRPr="00681B2A">
        <w:rPr>
          <w:rFonts w:hint="eastAsia"/>
          <w:lang w:val="en-GB"/>
        </w:rPr>
        <w:t xml:space="preserve"> voice their views </w:t>
      </w:r>
      <w:r w:rsidR="000B5751" w:rsidRPr="00681B2A">
        <w:rPr>
          <w:lang w:val="en-GB"/>
        </w:rPr>
        <w:t>in decision-making</w:t>
      </w:r>
      <w:r w:rsidR="000B5751" w:rsidRPr="00681B2A">
        <w:rPr>
          <w:rFonts w:hint="eastAsia"/>
          <w:lang w:val="en-GB"/>
        </w:rPr>
        <w:t xml:space="preserve"> processes.</w:t>
      </w:r>
      <w:r w:rsidR="000B5751" w:rsidRPr="00681B2A">
        <w:rPr>
          <w:lang w:val="en-GB"/>
        </w:rPr>
        <w:t xml:space="preserve"> Bearing in mind that these structures allow for </w:t>
      </w:r>
      <w:r w:rsidR="00A10044">
        <w:rPr>
          <w:lang w:val="en-GB"/>
        </w:rPr>
        <w:t xml:space="preserve">the engagement of </w:t>
      </w:r>
      <w:r w:rsidR="000B5751" w:rsidRPr="00681B2A">
        <w:rPr>
          <w:lang w:val="en-GB"/>
        </w:rPr>
        <w:t>a relatively small number of children, they should go hand in hand with other initiatives</w:t>
      </w:r>
      <w:r w:rsidR="00613964">
        <w:rPr>
          <w:lang w:val="en-GB"/>
        </w:rPr>
        <w:t>, such as c</w:t>
      </w:r>
      <w:r w:rsidR="000B5751" w:rsidRPr="00681B2A">
        <w:rPr>
          <w:lang w:val="en-GB"/>
        </w:rPr>
        <w:t xml:space="preserve">onsulting hours of politicians and officials, open house </w:t>
      </w:r>
      <w:r w:rsidR="00613964">
        <w:rPr>
          <w:lang w:val="en-GB"/>
        </w:rPr>
        <w:t>or</w:t>
      </w:r>
      <w:r w:rsidR="000B5751" w:rsidRPr="00681B2A">
        <w:rPr>
          <w:lang w:val="en-GB"/>
        </w:rPr>
        <w:t xml:space="preserve"> visits in schools and kindergartens.</w:t>
      </w:r>
      <w:r w:rsidR="000B5751" w:rsidRPr="00681B2A">
        <w:rPr>
          <w:rStyle w:val="FootnoteReference"/>
          <w:lang w:val="en-GB"/>
        </w:rPr>
        <w:footnoteReference w:id="23"/>
      </w:r>
    </w:p>
    <w:p w14:paraId="62960A91" w14:textId="61E60202" w:rsidR="000B5751" w:rsidRDefault="000B5751" w:rsidP="00B94F04">
      <w:pPr>
        <w:spacing w:after="0" w:line="240" w:lineRule="auto"/>
        <w:jc w:val="both"/>
        <w:rPr>
          <w:lang w:val="en-GB"/>
        </w:rPr>
      </w:pPr>
    </w:p>
    <w:p w14:paraId="52F27C7E" w14:textId="6115DE3F" w:rsidR="00BD49FC" w:rsidRDefault="00BD49FC" w:rsidP="00BD49FC">
      <w:pPr>
        <w:spacing w:after="0" w:line="240" w:lineRule="auto"/>
        <w:jc w:val="both"/>
        <w:rPr>
          <w:lang w:val="en-GB"/>
        </w:rPr>
      </w:pPr>
      <w:r>
        <w:rPr>
          <w:lang w:val="en-GB"/>
        </w:rPr>
        <w:t>S</w:t>
      </w:r>
      <w:r w:rsidRPr="00CC3844">
        <w:rPr>
          <w:lang w:val="en-GB"/>
        </w:rPr>
        <w:t>afe environment</w:t>
      </w:r>
      <w:r>
        <w:rPr>
          <w:lang w:val="en-GB"/>
        </w:rPr>
        <w:t>s</w:t>
      </w:r>
      <w:r w:rsidR="001C5C24">
        <w:rPr>
          <w:lang w:val="en-GB"/>
        </w:rPr>
        <w:t>,</w:t>
      </w:r>
      <w:r>
        <w:rPr>
          <w:lang w:val="en-GB"/>
        </w:rPr>
        <w:t xml:space="preserve"> where children are </w:t>
      </w:r>
      <w:r w:rsidRPr="00CC3844">
        <w:rPr>
          <w:lang w:val="en-GB"/>
        </w:rPr>
        <w:t xml:space="preserve">free from judgement and adults understand the issues </w:t>
      </w:r>
      <w:r w:rsidR="001C5C24">
        <w:rPr>
          <w:lang w:val="en-GB"/>
        </w:rPr>
        <w:t xml:space="preserve">children </w:t>
      </w:r>
      <w:r w:rsidRPr="00CC3844">
        <w:rPr>
          <w:lang w:val="en-GB"/>
        </w:rPr>
        <w:t xml:space="preserve">face and have the skills needed to support </w:t>
      </w:r>
      <w:r w:rsidR="001C5C24">
        <w:rPr>
          <w:lang w:val="en-GB"/>
        </w:rPr>
        <w:t xml:space="preserve">child </w:t>
      </w:r>
      <w:r w:rsidRPr="00CC3844">
        <w:rPr>
          <w:lang w:val="en-GB"/>
        </w:rPr>
        <w:t>participation</w:t>
      </w:r>
      <w:r>
        <w:rPr>
          <w:lang w:val="en-GB"/>
        </w:rPr>
        <w:t>, should exist in</w:t>
      </w:r>
      <w:r w:rsidRPr="00CC3844">
        <w:rPr>
          <w:lang w:val="en-GB"/>
        </w:rPr>
        <w:t xml:space="preserve"> school</w:t>
      </w:r>
      <w:r>
        <w:rPr>
          <w:lang w:val="en-GB"/>
        </w:rPr>
        <w:t xml:space="preserve"> settings</w:t>
      </w:r>
      <w:r w:rsidRPr="00CC3844">
        <w:rPr>
          <w:lang w:val="en-GB"/>
        </w:rPr>
        <w:t>, community group</w:t>
      </w:r>
      <w:r>
        <w:rPr>
          <w:lang w:val="en-GB"/>
        </w:rPr>
        <w:t>s</w:t>
      </w:r>
      <w:r w:rsidRPr="00CC3844">
        <w:rPr>
          <w:lang w:val="en-GB"/>
        </w:rPr>
        <w:t>, in the family</w:t>
      </w:r>
      <w:r>
        <w:rPr>
          <w:lang w:val="en-GB"/>
        </w:rPr>
        <w:t xml:space="preserve">, children councils </w:t>
      </w:r>
      <w:r w:rsidR="001C5C24">
        <w:rPr>
          <w:lang w:val="en-GB"/>
        </w:rPr>
        <w:t>and</w:t>
      </w:r>
      <w:r>
        <w:rPr>
          <w:lang w:val="en-GB"/>
        </w:rPr>
        <w:t xml:space="preserve"> in parliament. </w:t>
      </w:r>
      <w:r w:rsidR="00E14EEC">
        <w:rPr>
          <w:lang w:val="en-GB"/>
        </w:rPr>
        <w:t>At the same time, e</w:t>
      </w:r>
      <w:r w:rsidRPr="00CC3844">
        <w:rPr>
          <w:lang w:val="en-GB"/>
        </w:rPr>
        <w:t>ngaging children in decision-making through environments that are child-led is key to developing children’s capabilities as human rights defenders.</w:t>
      </w:r>
      <w:r>
        <w:rPr>
          <w:rStyle w:val="FootnoteReference"/>
          <w:lang w:val="en-GB"/>
        </w:rPr>
        <w:footnoteReference w:id="24"/>
      </w:r>
      <w:r w:rsidR="00E35D56">
        <w:rPr>
          <w:lang w:val="en-GB"/>
        </w:rPr>
        <w:t xml:space="preserve">The Committee’s </w:t>
      </w:r>
      <w:r w:rsidR="00E35D56" w:rsidRPr="00E35D56">
        <w:rPr>
          <w:lang w:val="en-GB"/>
        </w:rPr>
        <w:t xml:space="preserve">General Comment No. 20 on the rights of adolescents </w:t>
      </w:r>
      <w:r w:rsidR="001C5C24">
        <w:rPr>
          <w:lang w:val="en-GB"/>
        </w:rPr>
        <w:t xml:space="preserve">contains a recommendation to </w:t>
      </w:r>
      <w:r w:rsidR="00E35D56" w:rsidRPr="00E35D56">
        <w:rPr>
          <w:lang w:val="en-GB"/>
        </w:rPr>
        <w:t xml:space="preserve">States </w:t>
      </w:r>
      <w:r w:rsidR="001C5C24">
        <w:rPr>
          <w:lang w:val="en-GB"/>
        </w:rPr>
        <w:t xml:space="preserve">to </w:t>
      </w:r>
      <w:r w:rsidR="00E35D56" w:rsidRPr="00E35D56">
        <w:rPr>
          <w:lang w:val="en-GB"/>
        </w:rPr>
        <w:t>ensure that adolescents are involved in the development, implementation and monitoring of all relevant legislation, policies, services and programmes affecting their lives at school and at the community, local, national and international levels. The Committee emphasizes the importance of participation as a means of political and civil engagement through which adolescents can negotiate and advocate for the realization of their rights and hold States accountable</w:t>
      </w:r>
      <w:r w:rsidR="001C5C24">
        <w:rPr>
          <w:lang w:val="en-GB"/>
        </w:rPr>
        <w:t>.</w:t>
      </w:r>
    </w:p>
    <w:p w14:paraId="2FC7B169" w14:textId="7A69D0F9" w:rsidR="00BB231C" w:rsidRDefault="00BB231C" w:rsidP="00B94F04">
      <w:pPr>
        <w:spacing w:after="0" w:line="240" w:lineRule="auto"/>
        <w:jc w:val="both"/>
        <w:rPr>
          <w:lang w:val="en-GB"/>
        </w:rPr>
      </w:pPr>
    </w:p>
    <w:p w14:paraId="49E28326" w14:textId="72DB23A5" w:rsidR="00BB231C" w:rsidRDefault="00AD693D" w:rsidP="00255ECC">
      <w:pPr>
        <w:spacing w:after="120"/>
        <w:jc w:val="both"/>
        <w:rPr>
          <w:lang w:val="en-GB"/>
        </w:rPr>
      </w:pPr>
      <w:r>
        <w:rPr>
          <w:lang w:val="en-GB"/>
        </w:rPr>
        <w:t>At the international level, c</w:t>
      </w:r>
      <w:r w:rsidRPr="00255ECC">
        <w:rPr>
          <w:lang w:val="en-GB"/>
        </w:rPr>
        <w:t xml:space="preserve">hildren can be empowered through monitoring and reporting </w:t>
      </w:r>
      <w:r w:rsidR="009B0F39" w:rsidRPr="00255ECC">
        <w:rPr>
          <w:lang w:val="en-GB"/>
        </w:rPr>
        <w:t xml:space="preserve">to </w:t>
      </w:r>
      <w:r w:rsidR="009B0F39">
        <w:rPr>
          <w:lang w:val="en-GB"/>
        </w:rPr>
        <w:t>the Committee and other</w:t>
      </w:r>
      <w:r w:rsidR="009B0F39" w:rsidRPr="00255ECC">
        <w:rPr>
          <w:lang w:val="en-GB"/>
        </w:rPr>
        <w:t xml:space="preserve"> mechanisms </w:t>
      </w:r>
      <w:r w:rsidRPr="00255ECC">
        <w:rPr>
          <w:lang w:val="en-GB"/>
        </w:rPr>
        <w:t xml:space="preserve">on the implementation of human rights. </w:t>
      </w:r>
      <w:r>
        <w:rPr>
          <w:lang w:val="en-GB"/>
        </w:rPr>
        <w:t>At the DG</w:t>
      </w:r>
      <w:r w:rsidRPr="00255ECC">
        <w:rPr>
          <w:lang w:val="en-GB"/>
        </w:rPr>
        <w:t xml:space="preserve">D, children </w:t>
      </w:r>
      <w:r w:rsidR="001C5C24">
        <w:rPr>
          <w:lang w:val="en-GB"/>
        </w:rPr>
        <w:t xml:space="preserve">expressed their view </w:t>
      </w:r>
      <w:r w:rsidRPr="00255ECC">
        <w:rPr>
          <w:lang w:val="en-GB"/>
        </w:rPr>
        <w:t xml:space="preserve">that </w:t>
      </w:r>
      <w:r w:rsidR="00613964">
        <w:rPr>
          <w:lang w:val="en-GB"/>
        </w:rPr>
        <w:t>for the Committee to be able to analyse issues from a child perspective,</w:t>
      </w:r>
      <w:r w:rsidR="00613964" w:rsidRPr="00255ECC">
        <w:rPr>
          <w:lang w:val="en-GB"/>
        </w:rPr>
        <w:t xml:space="preserve"> </w:t>
      </w:r>
      <w:r w:rsidR="00613964">
        <w:rPr>
          <w:lang w:val="en-GB"/>
        </w:rPr>
        <w:t>children</w:t>
      </w:r>
      <w:r w:rsidRPr="00255ECC">
        <w:rPr>
          <w:lang w:val="en-GB"/>
        </w:rPr>
        <w:t xml:space="preserve"> should be a part of every stage of the reporting cycle, </w:t>
      </w:r>
      <w:r w:rsidR="001C5C24">
        <w:rPr>
          <w:lang w:val="en-GB"/>
        </w:rPr>
        <w:t xml:space="preserve">by </w:t>
      </w:r>
      <w:r w:rsidRPr="00255ECC">
        <w:rPr>
          <w:lang w:val="en-GB"/>
        </w:rPr>
        <w:t>providing children’s reports</w:t>
      </w:r>
      <w:r w:rsidR="001C5C24">
        <w:rPr>
          <w:lang w:val="en-GB"/>
        </w:rPr>
        <w:t xml:space="preserve"> and</w:t>
      </w:r>
      <w:r w:rsidRPr="00255ECC">
        <w:rPr>
          <w:lang w:val="en-GB"/>
        </w:rPr>
        <w:t xml:space="preserve"> participating at the Committee’s pre-session and session</w:t>
      </w:r>
      <w:r w:rsidR="00E35D56">
        <w:rPr>
          <w:lang w:val="en-GB"/>
        </w:rPr>
        <w:t xml:space="preserve">. </w:t>
      </w:r>
      <w:r w:rsidRPr="00255ECC">
        <w:rPr>
          <w:lang w:val="en-GB"/>
        </w:rPr>
        <w:t xml:space="preserve"> Children must also be involved in the follow-up, monitoring and implementation of the recommendations.</w:t>
      </w:r>
      <w:r w:rsidR="00255ECC" w:rsidRPr="00255ECC">
        <w:rPr>
          <w:lang w:val="en-GB"/>
        </w:rPr>
        <w:t xml:space="preserve"> The role of adults and supporting civil society organisations</w:t>
      </w:r>
      <w:r w:rsidR="001C5C24">
        <w:rPr>
          <w:lang w:val="en-GB"/>
        </w:rPr>
        <w:t xml:space="preserve"> </w:t>
      </w:r>
      <w:r w:rsidR="00330704">
        <w:rPr>
          <w:lang w:val="en-GB"/>
        </w:rPr>
        <w:t>is critical to this effect</w:t>
      </w:r>
      <w:r w:rsidR="00255ECC" w:rsidRPr="00255ECC">
        <w:rPr>
          <w:lang w:val="en-GB"/>
        </w:rPr>
        <w:t xml:space="preserve">. </w:t>
      </w:r>
    </w:p>
    <w:p w14:paraId="29C16159" w14:textId="3B8EA0A3" w:rsidR="00BD49FC" w:rsidRPr="000E5E3C" w:rsidRDefault="00E35D56" w:rsidP="00BD49FC">
      <w:pPr>
        <w:spacing w:after="120"/>
        <w:jc w:val="both"/>
        <w:rPr>
          <w:lang w:val="en-GB"/>
        </w:rPr>
      </w:pPr>
      <w:r w:rsidRPr="001A414D">
        <w:rPr>
          <w:lang w:val="en-GB"/>
        </w:rPr>
        <w:t>The</w:t>
      </w:r>
      <w:r w:rsidR="001A414D" w:rsidRPr="001A414D">
        <w:rPr>
          <w:lang w:val="en-GB"/>
        </w:rPr>
        <w:t xml:space="preserve"> </w:t>
      </w:r>
      <w:r w:rsidR="001C5C24">
        <w:rPr>
          <w:lang w:val="en-GB"/>
        </w:rPr>
        <w:t xml:space="preserve">2019 </w:t>
      </w:r>
      <w:r w:rsidR="001A414D">
        <w:rPr>
          <w:lang w:val="en-GB"/>
        </w:rPr>
        <w:t xml:space="preserve">OHCHR </w:t>
      </w:r>
      <w:r w:rsidRPr="001A414D">
        <w:rPr>
          <w:lang w:val="en-GB"/>
        </w:rPr>
        <w:t>Guidelines for States on the effective implementation of the right to participate in public affairs</w:t>
      </w:r>
      <w:r w:rsidR="001A414D">
        <w:rPr>
          <w:rStyle w:val="FootnoteReference"/>
          <w:lang w:val="en-GB"/>
        </w:rPr>
        <w:footnoteReference w:id="25"/>
      </w:r>
      <w:r w:rsidR="001A414D">
        <w:rPr>
          <w:lang w:val="en-GB"/>
        </w:rPr>
        <w:t xml:space="preserve"> will be an important tool to advance Target 1</w:t>
      </w:r>
      <w:r w:rsidR="000E5E3C">
        <w:rPr>
          <w:lang w:val="en-GB"/>
        </w:rPr>
        <w:t>6</w:t>
      </w:r>
      <w:r w:rsidR="001A414D">
        <w:rPr>
          <w:lang w:val="en-GB"/>
        </w:rPr>
        <w:t>.</w:t>
      </w:r>
      <w:r w:rsidR="000E5E3C">
        <w:rPr>
          <w:lang w:val="en-GB"/>
        </w:rPr>
        <w:t>7. The</w:t>
      </w:r>
      <w:r w:rsidR="001C5C24">
        <w:rPr>
          <w:lang w:val="en-GB"/>
        </w:rPr>
        <w:t xml:space="preserve"> Guidelines</w:t>
      </w:r>
      <w:r w:rsidR="000E5E3C">
        <w:rPr>
          <w:lang w:val="en-GB"/>
        </w:rPr>
        <w:t xml:space="preserve"> should be implemented through context-appropriate measures, including processes suitable</w:t>
      </w:r>
      <w:r w:rsidR="000E5E3C" w:rsidRPr="000E5E3C">
        <w:rPr>
          <w:lang w:val="en-GB"/>
        </w:rPr>
        <w:t xml:space="preserve"> to all ages and the evolving capacities of children</w:t>
      </w:r>
      <w:r w:rsidR="000E5E3C">
        <w:rPr>
          <w:lang w:val="en-GB"/>
        </w:rPr>
        <w:t>.</w:t>
      </w:r>
      <w:r w:rsidR="00B84545">
        <w:rPr>
          <w:lang w:val="en-GB"/>
        </w:rPr>
        <w:t xml:space="preserve"> </w:t>
      </w:r>
      <w:bookmarkStart w:id="3" w:name="_GoBack"/>
      <w:r w:rsidR="00B84545">
        <w:rPr>
          <w:lang w:val="en-GB"/>
        </w:rPr>
        <w:t xml:space="preserve">The implementation of the Guidelines should also be complemented with the UNICEF </w:t>
      </w:r>
      <w:r w:rsidR="00B84545" w:rsidRPr="00B84545">
        <w:rPr>
          <w:lang w:val="en-GB"/>
        </w:rPr>
        <w:t>Conceptual Framework for Measuring Outcomes of Adolescent Participation</w:t>
      </w:r>
      <w:r w:rsidR="00B84545">
        <w:rPr>
          <w:lang w:val="en-GB"/>
        </w:rPr>
        <w:t>.</w:t>
      </w:r>
      <w:r w:rsidR="00B84545">
        <w:rPr>
          <w:rStyle w:val="FootnoteReference"/>
          <w:lang w:val="en-GB"/>
        </w:rPr>
        <w:footnoteReference w:id="26"/>
      </w:r>
      <w:bookmarkEnd w:id="3"/>
    </w:p>
    <w:p w14:paraId="5E037C56" w14:textId="77777777" w:rsidR="00052383" w:rsidRPr="00CC3844" w:rsidRDefault="00052383" w:rsidP="00B94F04">
      <w:pPr>
        <w:spacing w:after="0" w:line="240" w:lineRule="auto"/>
        <w:jc w:val="both"/>
        <w:rPr>
          <w:lang w:val="en-GB"/>
        </w:rPr>
      </w:pPr>
    </w:p>
    <w:p w14:paraId="313808D5" w14:textId="380B073C" w:rsidR="00B74135" w:rsidRDefault="00D478EF" w:rsidP="00B94F04">
      <w:pPr>
        <w:spacing w:after="0" w:line="240" w:lineRule="auto"/>
        <w:jc w:val="both"/>
        <w:rPr>
          <w:rFonts w:ascii="Calibri" w:eastAsia="Times New Roman" w:hAnsi="Calibri" w:cs="Calibri"/>
          <w:lang w:val="en-GB" w:eastAsia="en-GB"/>
        </w:rPr>
      </w:pPr>
      <w:r w:rsidRPr="006D7C0E">
        <w:rPr>
          <w:rFonts w:ascii="Calibri" w:eastAsia="Times New Roman" w:hAnsi="Calibri" w:cs="Calibri"/>
          <w:b/>
          <w:iCs/>
          <w:lang w:val="en-GB" w:eastAsia="en-GB"/>
        </w:rPr>
        <w:t xml:space="preserve">Target </w:t>
      </w:r>
      <w:r w:rsidR="007B4CD2" w:rsidRPr="006D7C0E">
        <w:rPr>
          <w:rFonts w:ascii="Calibri" w:eastAsia="Times New Roman" w:hAnsi="Calibri" w:cs="Calibri"/>
          <w:b/>
          <w:iCs/>
          <w:lang w:val="en-GB" w:eastAsia="en-GB"/>
        </w:rPr>
        <w:t>16.10</w:t>
      </w:r>
      <w:r w:rsidR="0073758F">
        <w:rPr>
          <w:rFonts w:ascii="Calibri" w:eastAsia="Times New Roman" w:hAnsi="Calibri" w:cs="Calibri"/>
          <w:b/>
          <w:iCs/>
          <w:lang w:val="en-GB" w:eastAsia="en-GB"/>
        </w:rPr>
        <w:t>:</w:t>
      </w:r>
      <w:r w:rsidR="00052383" w:rsidRPr="006D7C0E">
        <w:rPr>
          <w:rFonts w:ascii="Calibri" w:eastAsia="Times New Roman" w:hAnsi="Calibri" w:cs="Calibri"/>
          <w:b/>
          <w:iCs/>
          <w:lang w:val="en-GB" w:eastAsia="en-GB"/>
        </w:rPr>
        <w:t xml:space="preserve"> </w:t>
      </w:r>
      <w:r w:rsidR="00052383" w:rsidRPr="006D7C0E">
        <w:rPr>
          <w:b/>
          <w:lang w:val="en-GB" w:eastAsia="en-GB"/>
        </w:rPr>
        <w:t>Ensure public access to information and protect fundamental freedoms, in accordance with national legislation and international agreements</w:t>
      </w:r>
      <w:r w:rsidR="00811C5F">
        <w:rPr>
          <w:rFonts w:ascii="Calibri" w:eastAsia="Times New Roman" w:hAnsi="Calibri" w:cs="Calibri"/>
          <w:iCs/>
          <w:lang w:val="en-GB" w:eastAsia="en-GB"/>
        </w:rPr>
        <w:t>:</w:t>
      </w:r>
      <w:r w:rsidR="00811C5F">
        <w:rPr>
          <w:rFonts w:ascii="Calibri" w:eastAsia="Times New Roman" w:hAnsi="Calibri" w:cs="Calibri"/>
          <w:lang w:val="en-GB" w:eastAsia="en-GB"/>
        </w:rPr>
        <w:t xml:space="preserve"> </w:t>
      </w:r>
      <w:r w:rsidR="0073758F">
        <w:rPr>
          <w:rFonts w:ascii="Calibri" w:eastAsia="Times New Roman" w:hAnsi="Calibri" w:cs="Calibri"/>
          <w:lang w:val="en-GB" w:eastAsia="en-GB"/>
        </w:rPr>
        <w:t>T</w:t>
      </w:r>
      <w:r w:rsidR="009440B5">
        <w:rPr>
          <w:rFonts w:ascii="Calibri" w:eastAsia="Times New Roman" w:hAnsi="Calibri" w:cs="Calibri"/>
          <w:lang w:val="en-GB" w:eastAsia="en-GB"/>
        </w:rPr>
        <w:t>he</w:t>
      </w:r>
      <w:r w:rsidR="008C09FB">
        <w:rPr>
          <w:rFonts w:ascii="Calibri" w:eastAsia="Times New Roman" w:hAnsi="Calibri" w:cs="Calibri"/>
          <w:lang w:val="en-GB" w:eastAsia="en-GB"/>
        </w:rPr>
        <w:t xml:space="preserve"> </w:t>
      </w:r>
      <w:r w:rsidR="006D7C0E">
        <w:rPr>
          <w:rFonts w:ascii="Calibri" w:eastAsia="Times New Roman" w:hAnsi="Calibri" w:cs="Calibri"/>
          <w:lang w:val="en-GB" w:eastAsia="en-GB"/>
        </w:rPr>
        <w:t>CRC</w:t>
      </w:r>
      <w:r w:rsidR="008C09FB">
        <w:rPr>
          <w:rFonts w:ascii="Calibri" w:eastAsia="Times New Roman" w:hAnsi="Calibri" w:cs="Calibri"/>
          <w:lang w:val="en-GB" w:eastAsia="en-GB"/>
        </w:rPr>
        <w:t xml:space="preserve"> recognise</w:t>
      </w:r>
      <w:r w:rsidR="0002513B">
        <w:rPr>
          <w:rFonts w:ascii="Calibri" w:eastAsia="Times New Roman" w:hAnsi="Calibri" w:cs="Calibri"/>
          <w:lang w:val="en-GB" w:eastAsia="en-GB"/>
        </w:rPr>
        <w:t xml:space="preserve">s </w:t>
      </w:r>
      <w:r w:rsidR="008C09FB">
        <w:rPr>
          <w:rFonts w:ascii="Calibri" w:eastAsia="Times New Roman" w:hAnsi="Calibri" w:cs="Calibri"/>
          <w:lang w:val="en-GB" w:eastAsia="en-GB"/>
        </w:rPr>
        <w:t>children’s right to access information</w:t>
      </w:r>
      <w:r w:rsidR="00796DBF">
        <w:rPr>
          <w:rFonts w:ascii="Calibri" w:eastAsia="Times New Roman" w:hAnsi="Calibri" w:cs="Calibri"/>
          <w:lang w:val="en-GB" w:eastAsia="en-GB"/>
        </w:rPr>
        <w:t xml:space="preserve"> (art.</w:t>
      </w:r>
      <w:r w:rsidR="0073758F">
        <w:rPr>
          <w:rFonts w:ascii="Calibri" w:eastAsia="Times New Roman" w:hAnsi="Calibri" w:cs="Calibri"/>
          <w:lang w:val="en-GB" w:eastAsia="en-GB"/>
        </w:rPr>
        <w:t xml:space="preserve"> </w:t>
      </w:r>
      <w:r w:rsidR="00796DBF">
        <w:rPr>
          <w:rFonts w:ascii="Calibri" w:eastAsia="Times New Roman" w:hAnsi="Calibri" w:cs="Calibri"/>
          <w:lang w:val="en-GB" w:eastAsia="en-GB"/>
        </w:rPr>
        <w:t>17</w:t>
      </w:r>
      <w:r w:rsidR="0073758F">
        <w:rPr>
          <w:rFonts w:ascii="Calibri" w:eastAsia="Times New Roman" w:hAnsi="Calibri" w:cs="Calibri"/>
          <w:lang w:val="en-GB" w:eastAsia="en-GB"/>
        </w:rPr>
        <w:t>,</w:t>
      </w:r>
      <w:r w:rsidR="006D7C0E">
        <w:rPr>
          <w:rFonts w:ascii="Calibri" w:eastAsia="Times New Roman" w:hAnsi="Calibri" w:cs="Calibri"/>
          <w:lang w:val="en-GB" w:eastAsia="en-GB"/>
        </w:rPr>
        <w:t xml:space="preserve"> CRC</w:t>
      </w:r>
      <w:r w:rsidR="00796DBF">
        <w:rPr>
          <w:rFonts w:ascii="Calibri" w:eastAsia="Times New Roman" w:hAnsi="Calibri" w:cs="Calibri"/>
          <w:lang w:val="en-GB" w:eastAsia="en-GB"/>
        </w:rPr>
        <w:t>)</w:t>
      </w:r>
      <w:r w:rsidR="008C09FB">
        <w:rPr>
          <w:rFonts w:ascii="Calibri" w:eastAsia="Times New Roman" w:hAnsi="Calibri" w:cs="Calibri"/>
          <w:lang w:val="en-GB" w:eastAsia="en-GB"/>
        </w:rPr>
        <w:t xml:space="preserve">. </w:t>
      </w:r>
      <w:r w:rsidR="0002513B">
        <w:rPr>
          <w:rFonts w:ascii="Calibri" w:eastAsia="Times New Roman" w:hAnsi="Calibri" w:cs="Calibri"/>
          <w:lang w:val="en-GB" w:eastAsia="en-GB"/>
        </w:rPr>
        <w:t>The DGD showed that it is</w:t>
      </w:r>
      <w:r w:rsidR="008C09FB">
        <w:rPr>
          <w:rFonts w:ascii="Calibri" w:eastAsia="Times New Roman" w:hAnsi="Calibri" w:cs="Calibri"/>
          <w:lang w:val="en-GB" w:eastAsia="en-GB"/>
        </w:rPr>
        <w:t xml:space="preserve"> difficult for </w:t>
      </w:r>
      <w:r w:rsidR="0002513B">
        <w:rPr>
          <w:rFonts w:ascii="Calibri" w:eastAsia="Times New Roman" w:hAnsi="Calibri" w:cs="Calibri"/>
          <w:lang w:val="en-GB" w:eastAsia="en-GB"/>
        </w:rPr>
        <w:t>children</w:t>
      </w:r>
      <w:r w:rsidR="008C09FB">
        <w:rPr>
          <w:rFonts w:ascii="Calibri" w:eastAsia="Times New Roman" w:hAnsi="Calibri" w:cs="Calibri"/>
          <w:lang w:val="en-GB" w:eastAsia="en-GB"/>
        </w:rPr>
        <w:t xml:space="preserve"> </w:t>
      </w:r>
      <w:r w:rsidR="007B4CD2" w:rsidRPr="007B4CD2">
        <w:rPr>
          <w:rFonts w:ascii="Calibri" w:eastAsia="Times New Roman" w:hAnsi="Calibri" w:cs="Calibri"/>
          <w:lang w:val="en-GB" w:eastAsia="en-GB"/>
        </w:rPr>
        <w:t>to access information on their own rights</w:t>
      </w:r>
      <w:r w:rsidR="0073758F">
        <w:rPr>
          <w:rFonts w:ascii="Calibri" w:eastAsia="Times New Roman" w:hAnsi="Calibri" w:cs="Calibri"/>
          <w:lang w:val="en-GB" w:eastAsia="en-GB"/>
        </w:rPr>
        <w:t xml:space="preserve"> and </w:t>
      </w:r>
      <w:r w:rsidR="007B4CD2" w:rsidRPr="007B4CD2">
        <w:rPr>
          <w:rFonts w:ascii="Calibri" w:eastAsia="Times New Roman" w:hAnsi="Calibri" w:cs="Calibri"/>
          <w:lang w:val="en-GB" w:eastAsia="en-GB"/>
        </w:rPr>
        <w:t>policies, budgets and meetings related to t</w:t>
      </w:r>
      <w:r w:rsidR="007B4CD2" w:rsidRPr="00052383">
        <w:rPr>
          <w:lang w:val="en-GB" w:eastAsia="en-GB"/>
        </w:rPr>
        <w:t>hem</w:t>
      </w:r>
      <w:r w:rsidR="0073758F">
        <w:rPr>
          <w:lang w:val="en-GB" w:eastAsia="en-GB"/>
        </w:rPr>
        <w:t>.  Even when children can access this type of information</w:t>
      </w:r>
      <w:r w:rsidR="00325EC0">
        <w:rPr>
          <w:lang w:val="en-GB" w:eastAsia="en-GB"/>
        </w:rPr>
        <w:t xml:space="preserve">, </w:t>
      </w:r>
      <w:r w:rsidR="0073758F">
        <w:rPr>
          <w:lang w:val="en-GB" w:eastAsia="en-GB"/>
        </w:rPr>
        <w:t xml:space="preserve">it is often </w:t>
      </w:r>
      <w:r w:rsidR="007B4CD2" w:rsidRPr="00052383">
        <w:rPr>
          <w:lang w:val="en-GB" w:eastAsia="en-GB"/>
        </w:rPr>
        <w:t>presented in a way that is difficult for children to understand.</w:t>
      </w:r>
      <w:r w:rsidR="00A16628">
        <w:rPr>
          <w:lang w:val="en-GB" w:eastAsia="en-GB"/>
        </w:rPr>
        <w:t xml:space="preserve"> A global children’s consultation found that 40% of children consulted felt that </w:t>
      </w:r>
      <w:r w:rsidR="00A16628" w:rsidRPr="00A16628">
        <w:rPr>
          <w:lang w:val="en-GB" w:eastAsia="en-GB"/>
        </w:rPr>
        <w:t>one of the</w:t>
      </w:r>
      <w:r w:rsidR="00A16628">
        <w:rPr>
          <w:lang w:val="en-GB" w:eastAsia="en-GB"/>
        </w:rPr>
        <w:t xml:space="preserve"> </w:t>
      </w:r>
      <w:r w:rsidR="00A16628" w:rsidRPr="00A16628">
        <w:rPr>
          <w:lang w:val="en-GB" w:eastAsia="en-GB"/>
        </w:rPr>
        <w:t>main challenges they face</w:t>
      </w:r>
      <w:r w:rsidR="00A16628">
        <w:rPr>
          <w:lang w:val="en-GB" w:eastAsia="en-GB"/>
        </w:rPr>
        <w:t xml:space="preserve"> </w:t>
      </w:r>
      <w:r w:rsidR="00A16628" w:rsidRPr="00A16628">
        <w:rPr>
          <w:lang w:val="en-GB" w:eastAsia="en-GB"/>
        </w:rPr>
        <w:t xml:space="preserve">as </w:t>
      </w:r>
      <w:r w:rsidR="00A16628">
        <w:rPr>
          <w:lang w:val="en-GB" w:eastAsia="en-GB"/>
        </w:rPr>
        <w:t>defenders</w:t>
      </w:r>
      <w:r w:rsidR="00A16628" w:rsidRPr="00A16628">
        <w:rPr>
          <w:lang w:val="en-GB" w:eastAsia="en-GB"/>
        </w:rPr>
        <w:t xml:space="preserve"> is the lack of</w:t>
      </w:r>
      <w:r w:rsidR="00A16628">
        <w:rPr>
          <w:lang w:val="en-GB" w:eastAsia="en-GB"/>
        </w:rPr>
        <w:t xml:space="preserve"> </w:t>
      </w:r>
      <w:r w:rsidR="00A16628" w:rsidRPr="00A16628">
        <w:rPr>
          <w:lang w:val="en-GB" w:eastAsia="en-GB"/>
        </w:rPr>
        <w:t xml:space="preserve">information about </w:t>
      </w:r>
      <w:r w:rsidR="0073758F">
        <w:rPr>
          <w:lang w:val="en-GB" w:eastAsia="en-GB"/>
        </w:rPr>
        <w:t xml:space="preserve">their </w:t>
      </w:r>
      <w:r w:rsidR="00A16628" w:rsidRPr="00A16628">
        <w:rPr>
          <w:lang w:val="en-GB" w:eastAsia="en-GB"/>
        </w:rPr>
        <w:t>rights.</w:t>
      </w:r>
      <w:r w:rsidR="00A16628">
        <w:rPr>
          <w:rStyle w:val="FootnoteReference"/>
          <w:lang w:val="en-GB" w:eastAsia="en-GB"/>
        </w:rPr>
        <w:footnoteReference w:id="27"/>
      </w:r>
      <w:r w:rsidR="00A16628" w:rsidRPr="00A16628">
        <w:rPr>
          <w:lang w:val="en-GB" w:eastAsia="en-GB"/>
        </w:rPr>
        <w:t xml:space="preserve"> </w:t>
      </w:r>
      <w:r w:rsidR="007B4CD2" w:rsidRPr="00052383">
        <w:rPr>
          <w:lang w:val="en-GB" w:eastAsia="en-GB"/>
        </w:rPr>
        <w:t xml:space="preserve"> </w:t>
      </w:r>
      <w:r w:rsidR="008C09FB" w:rsidRPr="00052383">
        <w:rPr>
          <w:lang w:val="en-GB" w:eastAsia="en-GB"/>
        </w:rPr>
        <w:t xml:space="preserve">Access to information is </w:t>
      </w:r>
      <w:r w:rsidR="0073758F">
        <w:rPr>
          <w:lang w:val="en-GB" w:eastAsia="en-GB"/>
        </w:rPr>
        <w:t>e</w:t>
      </w:r>
      <w:r w:rsidR="008C09FB" w:rsidRPr="00052383">
        <w:rPr>
          <w:lang w:val="en-GB" w:eastAsia="en-GB"/>
        </w:rPr>
        <w:t>specially challenging for children with disabilities</w:t>
      </w:r>
      <w:r w:rsidR="0073758F">
        <w:rPr>
          <w:lang w:val="en-GB" w:eastAsia="en-GB"/>
        </w:rPr>
        <w:t xml:space="preserve">, as </w:t>
      </w:r>
      <w:r w:rsidR="008C09FB" w:rsidRPr="007B4CD2">
        <w:rPr>
          <w:rFonts w:ascii="Calibri" w:eastAsia="Times New Roman" w:hAnsi="Calibri" w:cs="Calibri"/>
          <w:lang w:val="en-GB" w:eastAsia="en-GB"/>
        </w:rPr>
        <w:t>information is usually not available in accessible format</w:t>
      </w:r>
      <w:r w:rsidR="0073758F">
        <w:rPr>
          <w:rFonts w:ascii="Calibri" w:eastAsia="Times New Roman" w:hAnsi="Calibri" w:cs="Calibri"/>
          <w:lang w:val="en-GB" w:eastAsia="en-GB"/>
        </w:rPr>
        <w:t>s</w:t>
      </w:r>
      <w:r w:rsidR="008C09FB" w:rsidRPr="007B4CD2">
        <w:rPr>
          <w:rFonts w:ascii="Calibri" w:eastAsia="Times New Roman" w:hAnsi="Calibri" w:cs="Calibri"/>
          <w:lang w:val="en-GB" w:eastAsia="en-GB"/>
        </w:rPr>
        <w:t>.</w:t>
      </w:r>
      <w:r w:rsidR="0002513B" w:rsidRPr="0002513B">
        <w:rPr>
          <w:rFonts w:ascii="Calibri" w:eastAsia="Times New Roman" w:hAnsi="Calibri" w:cs="Calibri"/>
          <w:lang w:val="en-GB" w:eastAsia="en-GB"/>
        </w:rPr>
        <w:t xml:space="preserve"> </w:t>
      </w:r>
    </w:p>
    <w:p w14:paraId="0F7C9BB1" w14:textId="6335AAD9" w:rsidR="0049741E" w:rsidRDefault="0049741E" w:rsidP="00B94F04">
      <w:pPr>
        <w:spacing w:after="0" w:line="240" w:lineRule="auto"/>
        <w:jc w:val="both"/>
        <w:rPr>
          <w:lang w:val="en-GB" w:eastAsia="en-GB"/>
        </w:rPr>
      </w:pPr>
    </w:p>
    <w:p w14:paraId="163396D5" w14:textId="407407EF" w:rsidR="0049741E" w:rsidRDefault="00A05726" w:rsidP="00B94F04">
      <w:pPr>
        <w:spacing w:after="0" w:line="240" w:lineRule="auto"/>
        <w:jc w:val="both"/>
        <w:rPr>
          <w:lang w:val="en-GB"/>
        </w:rPr>
      </w:pPr>
      <w:r>
        <w:rPr>
          <w:lang w:val="en-GB"/>
        </w:rPr>
        <w:t>Regarding children</w:t>
      </w:r>
      <w:r w:rsidR="0073758F">
        <w:rPr>
          <w:lang w:val="en-GB"/>
        </w:rPr>
        <w:t>’s</w:t>
      </w:r>
      <w:r>
        <w:rPr>
          <w:lang w:val="en-GB"/>
        </w:rPr>
        <w:t xml:space="preserve"> fundamental freedoms, a</w:t>
      </w:r>
      <w:r w:rsidRPr="00A05726">
        <w:rPr>
          <w:lang w:val="en-GB"/>
        </w:rPr>
        <w:t xml:space="preserve"> study conducted by Save the Children and the Centre for Children’s Rights at Queen’s University</w:t>
      </w:r>
      <w:r w:rsidRPr="00A05726">
        <w:rPr>
          <w:color w:val="000000"/>
          <w:lang w:val="en-GB"/>
        </w:rPr>
        <w:t xml:space="preserve"> with 1</w:t>
      </w:r>
      <w:r w:rsidR="0073758F">
        <w:rPr>
          <w:color w:val="000000"/>
          <w:lang w:val="en-GB"/>
        </w:rPr>
        <w:t>,</w:t>
      </w:r>
      <w:r w:rsidRPr="00A05726">
        <w:rPr>
          <w:color w:val="000000"/>
          <w:lang w:val="en-GB"/>
        </w:rPr>
        <w:t>600 children from 60 countries found that only 34% of children felt safe expressing their views in public and only 38% felt safe joining a public protest or demonstration</w:t>
      </w:r>
      <w:r w:rsidR="0073758F">
        <w:rPr>
          <w:color w:val="000000"/>
          <w:lang w:val="en-GB"/>
        </w:rPr>
        <w:t>.</w:t>
      </w:r>
      <w:r w:rsidRPr="00C662C6">
        <w:rPr>
          <w:rStyle w:val="FootnoteReference"/>
          <w:color w:val="000000"/>
        </w:rPr>
        <w:footnoteReference w:id="28"/>
      </w:r>
      <w:r>
        <w:rPr>
          <w:lang w:val="en-GB" w:eastAsia="en-GB"/>
        </w:rPr>
        <w:t xml:space="preserve"> </w:t>
      </w:r>
      <w:r>
        <w:rPr>
          <w:lang w:val="en-GB"/>
        </w:rPr>
        <w:t xml:space="preserve">Many countries have not </w:t>
      </w:r>
      <w:r w:rsidRPr="008053F1">
        <w:rPr>
          <w:lang w:val="en-GB"/>
        </w:rPr>
        <w:t xml:space="preserve">put in place laws that ensures children’s rights to take civic action, including the rights to freedom of expression, association and peaceful assembly. </w:t>
      </w:r>
    </w:p>
    <w:p w14:paraId="7FA8675A" w14:textId="7A91DD7B" w:rsidR="00941845" w:rsidRDefault="00941845" w:rsidP="00B94F04">
      <w:pPr>
        <w:spacing w:after="0" w:line="240" w:lineRule="auto"/>
        <w:jc w:val="both"/>
        <w:rPr>
          <w:lang w:val="en-GB" w:eastAsia="en-GB"/>
        </w:rPr>
      </w:pPr>
    </w:p>
    <w:p w14:paraId="67321E02" w14:textId="3E613B0F" w:rsidR="00A05726" w:rsidRDefault="00207D9F" w:rsidP="00B94F04">
      <w:pPr>
        <w:spacing w:after="0" w:line="240" w:lineRule="auto"/>
        <w:jc w:val="both"/>
        <w:rPr>
          <w:lang w:val="en-GB"/>
        </w:rPr>
      </w:pPr>
      <w:r w:rsidRPr="00207D9F">
        <w:rPr>
          <w:lang w:val="en-GB"/>
        </w:rPr>
        <w:t xml:space="preserve">States must empower children to participate in all spaces, including in public affairs, by addressing the lack of relevant national legislation on children’s right to take public action, </w:t>
      </w:r>
      <w:r w:rsidR="0073758F">
        <w:rPr>
          <w:lang w:val="en-GB"/>
        </w:rPr>
        <w:t xml:space="preserve">and their </w:t>
      </w:r>
      <w:r w:rsidRPr="00207D9F">
        <w:rPr>
          <w:lang w:val="en-GB"/>
        </w:rPr>
        <w:t xml:space="preserve">rights to freedom of expression, </w:t>
      </w:r>
      <w:r w:rsidR="0073758F">
        <w:rPr>
          <w:lang w:val="en-GB"/>
        </w:rPr>
        <w:t xml:space="preserve">freedom of </w:t>
      </w:r>
      <w:r w:rsidRPr="00207D9F">
        <w:rPr>
          <w:lang w:val="en-GB"/>
        </w:rPr>
        <w:t>association</w:t>
      </w:r>
      <w:r w:rsidR="00A05726">
        <w:rPr>
          <w:lang w:val="en-GB"/>
        </w:rPr>
        <w:t xml:space="preserve">, </w:t>
      </w:r>
      <w:r w:rsidRPr="00207D9F">
        <w:rPr>
          <w:lang w:val="en-GB"/>
        </w:rPr>
        <w:t>peaceful assembly</w:t>
      </w:r>
      <w:r w:rsidR="00A05726" w:rsidRPr="00A05726">
        <w:rPr>
          <w:lang w:val="en-GB"/>
        </w:rPr>
        <w:t xml:space="preserve"> </w:t>
      </w:r>
      <w:r w:rsidR="00A05726" w:rsidRPr="00207D9F">
        <w:rPr>
          <w:lang w:val="en-GB"/>
        </w:rPr>
        <w:t xml:space="preserve">and access to information, </w:t>
      </w:r>
      <w:r w:rsidR="0073758F">
        <w:rPr>
          <w:lang w:val="en-GB"/>
        </w:rPr>
        <w:t xml:space="preserve">both </w:t>
      </w:r>
      <w:r w:rsidR="00A05726" w:rsidRPr="00207D9F">
        <w:rPr>
          <w:lang w:val="en-GB"/>
        </w:rPr>
        <w:t xml:space="preserve">online and </w:t>
      </w:r>
      <w:r w:rsidR="00A05726" w:rsidRPr="00207D9F">
        <w:rPr>
          <w:lang w:val="en-GB"/>
        </w:rPr>
        <w:lastRenderedPageBreak/>
        <w:t>offline</w:t>
      </w:r>
      <w:r w:rsidRPr="00207D9F">
        <w:rPr>
          <w:lang w:val="en-GB"/>
        </w:rPr>
        <w:t xml:space="preserve">. </w:t>
      </w:r>
      <w:r w:rsidR="00A05726" w:rsidRPr="00207D9F">
        <w:rPr>
          <w:lang w:val="en-GB"/>
        </w:rPr>
        <w:t>In addition, legal and administrative obstacles to children exercising these rights must be removed, including in relation to registering their organisations and opening bank accounts</w:t>
      </w:r>
      <w:r w:rsidR="00A05726">
        <w:rPr>
          <w:lang w:val="en-GB"/>
        </w:rPr>
        <w:t>.</w:t>
      </w:r>
      <w:r w:rsidR="00325EC0">
        <w:rPr>
          <w:rStyle w:val="FootnoteReference"/>
          <w:lang w:val="en-GB"/>
        </w:rPr>
        <w:footnoteReference w:id="29"/>
      </w:r>
      <w:r w:rsidR="008A4EEC">
        <w:rPr>
          <w:lang w:val="en-GB"/>
        </w:rPr>
        <w:t xml:space="preserve"> </w:t>
      </w:r>
      <w:r w:rsidR="00F12701">
        <w:rPr>
          <w:lang w:val="en-GB"/>
        </w:rPr>
        <w:t>In this regard, the Committee, in its General Comment n</w:t>
      </w:r>
      <w:r w:rsidR="0073758F">
        <w:rPr>
          <w:lang w:val="en-GB"/>
        </w:rPr>
        <w:t xml:space="preserve">o. </w:t>
      </w:r>
      <w:r w:rsidR="00F12701">
        <w:rPr>
          <w:lang w:val="en-GB"/>
        </w:rPr>
        <w:t xml:space="preserve">20, </w:t>
      </w:r>
      <w:r w:rsidR="0073758F">
        <w:rPr>
          <w:lang w:val="en-GB"/>
        </w:rPr>
        <w:t>(</w:t>
      </w:r>
      <w:proofErr w:type="spellStart"/>
      <w:r w:rsidR="0073758F">
        <w:rPr>
          <w:lang w:val="en-GB"/>
        </w:rPr>
        <w:t>i</w:t>
      </w:r>
      <w:proofErr w:type="spellEnd"/>
      <w:r w:rsidR="0073758F">
        <w:rPr>
          <w:lang w:val="en-GB"/>
        </w:rPr>
        <w:t xml:space="preserve">) </w:t>
      </w:r>
      <w:r w:rsidR="00F12701">
        <w:rPr>
          <w:lang w:val="en-GB"/>
        </w:rPr>
        <w:t>states that “l</w:t>
      </w:r>
      <w:r w:rsidR="00681B2A" w:rsidRPr="00C86332">
        <w:rPr>
          <w:lang w:val="en-GB"/>
        </w:rPr>
        <w:t>egal recognition should be afforded to adolescents to establish their own associations, clubs, organizations, parliaments and forums, both in and out of school, form online networks, join political parties and join or form their own trade unions</w:t>
      </w:r>
      <w:r w:rsidR="00F12701">
        <w:rPr>
          <w:lang w:val="en-GB"/>
        </w:rPr>
        <w:t xml:space="preserve">” and </w:t>
      </w:r>
      <w:r w:rsidR="0073758F">
        <w:rPr>
          <w:lang w:val="en-GB"/>
        </w:rPr>
        <w:t xml:space="preserve">(ii) </w:t>
      </w:r>
      <w:r w:rsidR="00F12701">
        <w:rPr>
          <w:lang w:val="en-GB"/>
        </w:rPr>
        <w:t>calls for m</w:t>
      </w:r>
      <w:r w:rsidR="00681B2A" w:rsidRPr="00C86332">
        <w:rPr>
          <w:lang w:val="en-GB"/>
        </w:rPr>
        <w:t xml:space="preserve">easures </w:t>
      </w:r>
      <w:r w:rsidR="00F12701">
        <w:rPr>
          <w:lang w:val="en-GB"/>
        </w:rPr>
        <w:t>to</w:t>
      </w:r>
      <w:r w:rsidR="00681B2A" w:rsidRPr="00C86332">
        <w:rPr>
          <w:lang w:val="en-GB"/>
        </w:rPr>
        <w:t xml:space="preserve"> be introduced </w:t>
      </w:r>
      <w:r w:rsidR="00F12701">
        <w:rPr>
          <w:lang w:val="en-GB"/>
        </w:rPr>
        <w:t>“</w:t>
      </w:r>
      <w:r w:rsidR="00681B2A" w:rsidRPr="00C86332">
        <w:rPr>
          <w:lang w:val="en-GB"/>
        </w:rPr>
        <w:t>to protect adolescent human rights defenders, particularly girls, who often face gender-specific threats and violence</w:t>
      </w:r>
      <w:r w:rsidR="00F12701">
        <w:rPr>
          <w:lang w:val="en-GB"/>
        </w:rPr>
        <w:t>”</w:t>
      </w:r>
      <w:r w:rsidR="00681B2A" w:rsidRPr="00C86332">
        <w:rPr>
          <w:lang w:val="en-GB"/>
        </w:rPr>
        <w:t>.</w:t>
      </w:r>
      <w:r w:rsidR="005A2565">
        <w:rPr>
          <w:rStyle w:val="FootnoteReference"/>
          <w:lang w:val="en-GB"/>
        </w:rPr>
        <w:footnoteReference w:id="30"/>
      </w:r>
      <w:r w:rsidR="00F12701">
        <w:rPr>
          <w:lang w:val="en-GB"/>
        </w:rPr>
        <w:t xml:space="preserve"> </w:t>
      </w:r>
      <w:r w:rsidR="008A4EEC">
        <w:rPr>
          <w:rFonts w:ascii="Calibri" w:eastAsia="Times New Roman" w:hAnsi="Calibri" w:cs="Calibri"/>
          <w:lang w:val="en-GB" w:eastAsia="en-GB"/>
        </w:rPr>
        <w:t>A</w:t>
      </w:r>
      <w:r w:rsidR="008A4EEC" w:rsidRPr="007B4CD2">
        <w:rPr>
          <w:rFonts w:ascii="Calibri" w:eastAsia="Times New Roman" w:hAnsi="Calibri" w:cs="Calibri"/>
          <w:lang w:val="en-GB" w:eastAsia="en-GB"/>
        </w:rPr>
        <w:t xml:space="preserve">ccess to information </w:t>
      </w:r>
      <w:r w:rsidR="008A4EEC">
        <w:rPr>
          <w:rFonts w:ascii="Calibri" w:eastAsia="Times New Roman" w:hAnsi="Calibri" w:cs="Calibri"/>
          <w:lang w:val="en-GB" w:eastAsia="en-GB"/>
        </w:rPr>
        <w:t>and ensuring fundamental freedoms is essential to empower</w:t>
      </w:r>
      <w:r w:rsidR="0073758F">
        <w:rPr>
          <w:rFonts w:ascii="Calibri" w:eastAsia="Times New Roman" w:hAnsi="Calibri" w:cs="Calibri"/>
          <w:lang w:val="en-GB" w:eastAsia="en-GB"/>
        </w:rPr>
        <w:t>ing</w:t>
      </w:r>
      <w:r w:rsidR="008A4EEC">
        <w:rPr>
          <w:rFonts w:ascii="Calibri" w:eastAsia="Times New Roman" w:hAnsi="Calibri" w:cs="Calibri"/>
          <w:lang w:val="en-GB" w:eastAsia="en-GB"/>
        </w:rPr>
        <w:t xml:space="preserve"> children </w:t>
      </w:r>
      <w:r w:rsidR="008A4EEC" w:rsidRPr="007B4CD2">
        <w:rPr>
          <w:rFonts w:ascii="Calibri" w:eastAsia="Times New Roman" w:hAnsi="Calibri" w:cs="Calibri"/>
          <w:lang w:val="en-GB" w:eastAsia="en-GB"/>
        </w:rPr>
        <w:t>to understand and protect their rights</w:t>
      </w:r>
      <w:r w:rsidR="008A4EEC">
        <w:rPr>
          <w:rFonts w:ascii="Calibri" w:eastAsia="Times New Roman" w:hAnsi="Calibri" w:cs="Calibri"/>
          <w:lang w:val="en-GB" w:eastAsia="en-GB"/>
        </w:rPr>
        <w:t>, and to advocate for the realisation of the 2030 Agenda.</w:t>
      </w:r>
    </w:p>
    <w:p w14:paraId="1CF8A0A9" w14:textId="6370A186" w:rsidR="00A05726" w:rsidRDefault="00A05726" w:rsidP="00B94F04">
      <w:pPr>
        <w:spacing w:after="0" w:line="240" w:lineRule="auto"/>
        <w:jc w:val="both"/>
        <w:rPr>
          <w:lang w:val="en-GB" w:eastAsia="en-GB"/>
        </w:rPr>
      </w:pPr>
    </w:p>
    <w:p w14:paraId="72F18F2F" w14:textId="3D1637D0" w:rsidR="00325EC0" w:rsidRDefault="00325EC0" w:rsidP="00B94F04">
      <w:pPr>
        <w:spacing w:after="0" w:line="240" w:lineRule="auto"/>
        <w:jc w:val="both"/>
        <w:rPr>
          <w:b/>
          <w:lang w:val="en-GB" w:eastAsia="en-GB"/>
        </w:rPr>
      </w:pPr>
      <w:r w:rsidRPr="00325EC0">
        <w:rPr>
          <w:b/>
          <w:lang w:val="en-GB" w:eastAsia="en-GB"/>
        </w:rPr>
        <w:t>Partnerships for the Goals (Goal 17)</w:t>
      </w:r>
    </w:p>
    <w:p w14:paraId="2BFBFD96" w14:textId="7D3C2D71" w:rsidR="00FB5028" w:rsidRDefault="00FB5028">
      <w:pPr>
        <w:spacing w:after="0" w:line="240" w:lineRule="auto"/>
        <w:jc w:val="both"/>
        <w:rPr>
          <w:b/>
          <w:lang w:val="en-GB" w:eastAsia="en-GB"/>
        </w:rPr>
      </w:pPr>
    </w:p>
    <w:p w14:paraId="3C83C4F1" w14:textId="29AA93A5" w:rsidR="00FB5028" w:rsidRPr="00C72EEB" w:rsidRDefault="00FB5028" w:rsidP="00FB5028">
      <w:pPr>
        <w:spacing w:after="0" w:line="240" w:lineRule="auto"/>
        <w:jc w:val="both"/>
        <w:rPr>
          <w:lang w:val="en-GB"/>
        </w:rPr>
      </w:pPr>
      <w:r>
        <w:rPr>
          <w:lang w:val="en-GB"/>
        </w:rPr>
        <w:t xml:space="preserve">From the DGD, it can be observed that the most successful practices are those </w:t>
      </w:r>
      <w:r w:rsidR="007E6832">
        <w:rPr>
          <w:lang w:val="en-GB"/>
        </w:rPr>
        <w:t>that are (</w:t>
      </w:r>
      <w:proofErr w:type="spellStart"/>
      <w:r w:rsidR="007E6832">
        <w:rPr>
          <w:lang w:val="en-GB"/>
        </w:rPr>
        <w:t>i</w:t>
      </w:r>
      <w:proofErr w:type="spellEnd"/>
      <w:r w:rsidR="007E6832">
        <w:rPr>
          <w:lang w:val="en-GB"/>
        </w:rPr>
        <w:t xml:space="preserve">) </w:t>
      </w:r>
      <w:r>
        <w:rPr>
          <w:lang w:val="en-GB"/>
        </w:rPr>
        <w:t>led by</w:t>
      </w:r>
      <w:r w:rsidR="00D85BE0">
        <w:rPr>
          <w:lang w:val="en-GB"/>
        </w:rPr>
        <w:t>,</w:t>
      </w:r>
      <w:r>
        <w:rPr>
          <w:lang w:val="en-GB"/>
        </w:rPr>
        <w:t xml:space="preserve"> or developed in consultation with</w:t>
      </w:r>
      <w:r w:rsidR="00D85BE0">
        <w:rPr>
          <w:lang w:val="en-GB"/>
        </w:rPr>
        <w:t>,</w:t>
      </w:r>
      <w:r>
        <w:rPr>
          <w:lang w:val="en-GB"/>
        </w:rPr>
        <w:t xml:space="preserve"> children</w:t>
      </w:r>
      <w:r w:rsidR="007E6832">
        <w:rPr>
          <w:lang w:val="en-GB"/>
        </w:rPr>
        <w:t>,</w:t>
      </w:r>
      <w:r>
        <w:rPr>
          <w:lang w:val="en-GB"/>
        </w:rPr>
        <w:t xml:space="preserve"> and </w:t>
      </w:r>
      <w:r w:rsidR="007E6832">
        <w:rPr>
          <w:lang w:val="en-GB"/>
        </w:rPr>
        <w:t xml:space="preserve">(ii) conducted </w:t>
      </w:r>
      <w:r>
        <w:rPr>
          <w:lang w:val="en-GB"/>
        </w:rPr>
        <w:t xml:space="preserve">in partnership with </w:t>
      </w:r>
      <w:proofErr w:type="gramStart"/>
      <w:r w:rsidR="007E6832">
        <w:rPr>
          <w:lang w:val="en-GB"/>
        </w:rPr>
        <w:t>a number of</w:t>
      </w:r>
      <w:proofErr w:type="gramEnd"/>
      <w:r w:rsidR="007E6832">
        <w:rPr>
          <w:lang w:val="en-GB"/>
        </w:rPr>
        <w:t xml:space="preserve"> </w:t>
      </w:r>
      <w:r>
        <w:rPr>
          <w:lang w:val="en-GB"/>
        </w:rPr>
        <w:t xml:space="preserve">stakeholders, </w:t>
      </w:r>
      <w:r w:rsidR="007E6832">
        <w:rPr>
          <w:lang w:val="en-GB"/>
        </w:rPr>
        <w:t xml:space="preserve">such as </w:t>
      </w:r>
      <w:r>
        <w:rPr>
          <w:lang w:val="en-GB"/>
        </w:rPr>
        <w:t>local or national authorities, communities, school</w:t>
      </w:r>
      <w:r w:rsidR="007B5735">
        <w:rPr>
          <w:lang w:val="en-GB"/>
        </w:rPr>
        <w:t>s</w:t>
      </w:r>
      <w:r>
        <w:rPr>
          <w:lang w:val="en-GB"/>
        </w:rPr>
        <w:t>, national human rights institutions, civil society</w:t>
      </w:r>
      <w:r w:rsidR="00152157">
        <w:rPr>
          <w:lang w:val="en-GB"/>
        </w:rPr>
        <w:t>,</w:t>
      </w:r>
      <w:r>
        <w:rPr>
          <w:lang w:val="en-GB"/>
        </w:rPr>
        <w:t xml:space="preserve"> business</w:t>
      </w:r>
      <w:r w:rsidR="007E6832">
        <w:rPr>
          <w:lang w:val="en-GB"/>
        </w:rPr>
        <w:t>,</w:t>
      </w:r>
      <w:r>
        <w:rPr>
          <w:lang w:val="en-GB"/>
        </w:rPr>
        <w:t xml:space="preserve"> </w:t>
      </w:r>
      <w:r w:rsidR="00152157">
        <w:rPr>
          <w:lang w:val="en-GB"/>
        </w:rPr>
        <w:t>media</w:t>
      </w:r>
      <w:r>
        <w:rPr>
          <w:lang w:val="en-GB"/>
        </w:rPr>
        <w:t>, representatives of the United Nations</w:t>
      </w:r>
      <w:r w:rsidR="00152157">
        <w:rPr>
          <w:lang w:val="en-GB"/>
        </w:rPr>
        <w:t xml:space="preserve">, </w:t>
      </w:r>
      <w:r w:rsidR="0073758F">
        <w:rPr>
          <w:lang w:val="en-GB"/>
        </w:rPr>
        <w:t xml:space="preserve">and </w:t>
      </w:r>
      <w:r w:rsidRPr="00C72EEB">
        <w:rPr>
          <w:lang w:val="en-GB"/>
        </w:rPr>
        <w:t>regional human rights bodies</w:t>
      </w:r>
      <w:r>
        <w:rPr>
          <w:lang w:val="en-GB"/>
        </w:rPr>
        <w:t xml:space="preserve">.  </w:t>
      </w:r>
      <w:r w:rsidR="007E6832">
        <w:rPr>
          <w:lang w:val="en-GB"/>
        </w:rPr>
        <w:t xml:space="preserve">Further, global partnerships that include children have been key to </w:t>
      </w:r>
      <w:r w:rsidR="00E72859">
        <w:rPr>
          <w:lang w:val="en-GB"/>
        </w:rPr>
        <w:t xml:space="preserve">helping realise </w:t>
      </w:r>
      <w:r w:rsidR="007E6832">
        <w:rPr>
          <w:lang w:val="en-GB"/>
        </w:rPr>
        <w:t xml:space="preserve">the 2030 Agenda and upholding children’s rights.  </w:t>
      </w:r>
    </w:p>
    <w:p w14:paraId="08A852F9" w14:textId="77777777" w:rsidR="00FB5028" w:rsidRPr="003740E6" w:rsidRDefault="00FB5028">
      <w:pPr>
        <w:spacing w:after="0" w:line="240" w:lineRule="auto"/>
        <w:jc w:val="both"/>
        <w:rPr>
          <w:b/>
          <w:lang w:val="en-GB" w:eastAsia="en-GB"/>
        </w:rPr>
      </w:pPr>
    </w:p>
    <w:sectPr w:rsidR="00FB5028" w:rsidRPr="003740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CC1B" w14:textId="77777777" w:rsidR="00C75C47" w:rsidRDefault="00C75C47" w:rsidP="00811C5F">
      <w:pPr>
        <w:spacing w:after="0" w:line="240" w:lineRule="auto"/>
      </w:pPr>
      <w:r>
        <w:separator/>
      </w:r>
    </w:p>
  </w:endnote>
  <w:endnote w:type="continuationSeparator" w:id="0">
    <w:p w14:paraId="0BA75249" w14:textId="77777777" w:rsidR="00C75C47" w:rsidRDefault="00C75C47" w:rsidP="0081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51B24" w14:textId="77777777" w:rsidR="00C75C47" w:rsidRDefault="00C75C47" w:rsidP="00811C5F">
      <w:pPr>
        <w:spacing w:after="0" w:line="240" w:lineRule="auto"/>
      </w:pPr>
      <w:r>
        <w:separator/>
      </w:r>
    </w:p>
  </w:footnote>
  <w:footnote w:type="continuationSeparator" w:id="0">
    <w:p w14:paraId="714A2173" w14:textId="77777777" w:rsidR="00C75C47" w:rsidRDefault="00C75C47" w:rsidP="00811C5F">
      <w:pPr>
        <w:spacing w:after="0" w:line="240" w:lineRule="auto"/>
      </w:pPr>
      <w:r>
        <w:continuationSeparator/>
      </w:r>
    </w:p>
  </w:footnote>
  <w:footnote w:id="1">
    <w:p w14:paraId="3057A495" w14:textId="4AFB83FD"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r w:rsidRPr="00966140">
        <w:rPr>
          <w:rFonts w:ascii="Calibri" w:hAnsi="Calibri" w:cs="Times New Roman"/>
          <w:sz w:val="16"/>
          <w:szCs w:val="16"/>
          <w:lang w:val="en-US"/>
        </w:rPr>
        <w:t>2018 Day of General Discussion Background Paper: Protecting and empowering children as human rights defenders, “Lack of access to information”.</w:t>
      </w:r>
    </w:p>
  </w:footnote>
  <w:footnote w:id="2">
    <w:p w14:paraId="0501A2E1" w14:textId="77777777" w:rsidR="00B22E8D" w:rsidRPr="00966140" w:rsidRDefault="00B22E8D" w:rsidP="00966140">
      <w:pPr>
        <w:shd w:val="clear" w:color="auto" w:fill="FFFFFF"/>
        <w:spacing w:after="0" w:line="240" w:lineRule="auto"/>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cs="Times New Roman"/>
          <w:sz w:val="16"/>
          <w:szCs w:val="16"/>
          <w:lang w:val="en-US"/>
        </w:rPr>
        <w:t>The role of law and legal knowledge for a transformative human rights education: addressing violations of children’s rights in formal education, Laura Lundy, Queen’s University Belfast, UK, Gabriela Martínez Sainz, Centre for Human Rights Studies, Mexico.</w:t>
      </w:r>
    </w:p>
  </w:footnote>
  <w:footnote w:id="3">
    <w:p w14:paraId="489C80E6" w14:textId="57ACDF72"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r w:rsidRPr="00966140">
        <w:rPr>
          <w:rFonts w:ascii="Calibri" w:hAnsi="Calibri" w:cs="Times New Roman"/>
          <w:sz w:val="16"/>
          <w:szCs w:val="16"/>
          <w:lang w:val="en-US"/>
        </w:rPr>
        <w:t>2018 Day of General Discussion outcome report</w:t>
      </w:r>
      <w:r w:rsidRPr="00966140">
        <w:rPr>
          <w:rFonts w:ascii="Calibri" w:hAnsi="Calibri"/>
          <w:sz w:val="16"/>
          <w:szCs w:val="16"/>
          <w:lang w:val="en-US"/>
        </w:rPr>
        <w:t>, “</w:t>
      </w:r>
      <w:r w:rsidRPr="00966140">
        <w:rPr>
          <w:rFonts w:ascii="Calibri" w:hAnsi="Calibri"/>
          <w:sz w:val="16"/>
          <w:szCs w:val="16"/>
          <w:lang w:val="en-GB"/>
        </w:rPr>
        <w:t>4.4.1 Freedom of speech and violence in schools”.</w:t>
      </w:r>
    </w:p>
  </w:footnote>
  <w:footnote w:id="4">
    <w:p w14:paraId="3709E121" w14:textId="7A96389A"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r w:rsidRPr="00966140">
        <w:rPr>
          <w:rFonts w:ascii="Calibri" w:hAnsi="Calibri" w:cs="Times New Roman"/>
          <w:sz w:val="16"/>
          <w:szCs w:val="16"/>
          <w:lang w:val="en-US"/>
        </w:rPr>
        <w:t>Id.</w:t>
      </w:r>
      <w:r w:rsidRPr="00966140">
        <w:rPr>
          <w:rFonts w:ascii="Calibri" w:hAnsi="Calibri"/>
          <w:sz w:val="16"/>
          <w:szCs w:val="16"/>
          <w:lang w:val="en-US"/>
        </w:rPr>
        <w:t>, “</w:t>
      </w:r>
      <w:r w:rsidRPr="00966140">
        <w:rPr>
          <w:rFonts w:ascii="Calibri" w:hAnsi="Calibri"/>
          <w:sz w:val="16"/>
          <w:szCs w:val="16"/>
          <w:lang w:val="en-GB"/>
        </w:rPr>
        <w:t>4.3.4 Role of legislature, Children’s Parliaments”.</w:t>
      </w:r>
    </w:p>
  </w:footnote>
  <w:footnote w:id="5">
    <w:p w14:paraId="45AB39F7" w14:textId="187504DF"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r w:rsidRPr="00966140">
        <w:rPr>
          <w:rFonts w:ascii="Calibri" w:hAnsi="Calibri"/>
          <w:sz w:val="16"/>
          <w:szCs w:val="16"/>
          <w:lang w:val="en-US"/>
        </w:rPr>
        <w:t>The views, perspectives and recommendations of children across the world, Child Rights Connect.</w:t>
      </w:r>
    </w:p>
  </w:footnote>
  <w:footnote w:id="6">
    <w:p w14:paraId="16BAE620" w14:textId="3820A382"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cs="Times New Roman"/>
          <w:sz w:val="16"/>
          <w:szCs w:val="16"/>
          <w:lang w:val="en-US"/>
        </w:rPr>
        <w:t>2018 Day of General Discussion outcome report</w:t>
      </w:r>
      <w:r w:rsidRPr="00966140">
        <w:rPr>
          <w:rFonts w:ascii="Calibri" w:hAnsi="Calibri"/>
          <w:sz w:val="16"/>
          <w:szCs w:val="16"/>
          <w:lang w:val="en-US"/>
        </w:rPr>
        <w:t>, ”4.2.1 Civil society space for child human rights defenders”.</w:t>
      </w:r>
    </w:p>
  </w:footnote>
  <w:footnote w:id="7">
    <w:p w14:paraId="1C37547F" w14:textId="540D4CD3"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Principle of non-discrimination, art.2 CRC.</w:t>
      </w:r>
    </w:p>
  </w:footnote>
  <w:footnote w:id="8">
    <w:p w14:paraId="110E8635" w14:textId="5420899C"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r w:rsidRPr="00966140">
        <w:rPr>
          <w:rFonts w:ascii="Calibri" w:hAnsi="Calibri"/>
          <w:sz w:val="16"/>
          <w:szCs w:val="16"/>
          <w:lang w:val="en-US"/>
        </w:rPr>
        <w:t xml:space="preserve">2018 </w:t>
      </w:r>
      <w:r w:rsidRPr="00966140">
        <w:rPr>
          <w:rFonts w:ascii="Calibri" w:hAnsi="Calibri" w:cs="Times New Roman"/>
          <w:sz w:val="16"/>
          <w:szCs w:val="16"/>
          <w:lang w:val="en-US"/>
        </w:rPr>
        <w:t>Day of General Discussion</w:t>
      </w:r>
      <w:r w:rsidRPr="00966140">
        <w:rPr>
          <w:rFonts w:ascii="Calibri" w:hAnsi="Calibri"/>
          <w:sz w:val="16"/>
          <w:szCs w:val="16"/>
          <w:lang w:val="en-US"/>
        </w:rPr>
        <w:t xml:space="preserve"> Concept Note.</w:t>
      </w:r>
    </w:p>
  </w:footnote>
  <w:footnote w:id="9">
    <w:p w14:paraId="6529A1EC" w14:textId="63A6F851"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cs="Times New Roman"/>
          <w:sz w:val="16"/>
          <w:szCs w:val="16"/>
          <w:lang w:val="en-US"/>
        </w:rPr>
        <w:t>A/HRC/40/60 (2019).</w:t>
      </w:r>
    </w:p>
  </w:footnote>
  <w:footnote w:id="10">
    <w:p w14:paraId="192DF4F8" w14:textId="13BE7AA8"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Id.</w:t>
      </w:r>
    </w:p>
  </w:footnote>
  <w:footnote w:id="11">
    <w:p w14:paraId="753F6336" w14:textId="61528064" w:rsidR="00B22E8D" w:rsidRPr="00966140" w:rsidRDefault="00B22E8D" w:rsidP="00966140">
      <w:pPr>
        <w:pStyle w:val="FootnoteText"/>
        <w:jc w:val="both"/>
        <w:rPr>
          <w:rFonts w:ascii="Calibri" w:hAnsi="Calibri"/>
          <w:b/>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bookmarkStart w:id="0" w:name="_Hlk11362158"/>
      <w:bookmarkStart w:id="1" w:name="_Hlk11279788"/>
      <w:r w:rsidRPr="00966140">
        <w:rPr>
          <w:rFonts w:ascii="Calibri" w:hAnsi="Calibri" w:cs="Times New Roman"/>
          <w:sz w:val="16"/>
          <w:szCs w:val="16"/>
          <w:lang w:val="en-US"/>
        </w:rPr>
        <w:t>2018 Day of General Discussion outcome report</w:t>
      </w:r>
      <w:bookmarkEnd w:id="0"/>
      <w:r w:rsidRPr="00966140">
        <w:rPr>
          <w:rFonts w:ascii="Calibri" w:hAnsi="Calibri"/>
          <w:sz w:val="16"/>
          <w:szCs w:val="16"/>
          <w:lang w:val="en-US"/>
        </w:rPr>
        <w:t xml:space="preserve">, </w:t>
      </w:r>
      <w:bookmarkEnd w:id="1"/>
      <w:r w:rsidRPr="00966140">
        <w:rPr>
          <w:rFonts w:ascii="Calibri" w:hAnsi="Calibri"/>
          <w:sz w:val="16"/>
          <w:szCs w:val="16"/>
          <w:lang w:val="en-US"/>
        </w:rPr>
        <w:t>“Summary analysis: non-State Actors and child human rights defenders”</w:t>
      </w:r>
      <w:r w:rsidR="009674ED" w:rsidRPr="00966140">
        <w:rPr>
          <w:rFonts w:ascii="Calibri" w:hAnsi="Calibri"/>
          <w:sz w:val="16"/>
          <w:szCs w:val="16"/>
          <w:lang w:val="en-US"/>
        </w:rPr>
        <w:t>.</w:t>
      </w:r>
    </w:p>
  </w:footnote>
  <w:footnote w:id="12">
    <w:p w14:paraId="1BCE0528" w14:textId="170E8106"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Human Rights Council resolution </w:t>
      </w:r>
      <w:r w:rsidRPr="00966140">
        <w:rPr>
          <w:rFonts w:ascii="Calibri" w:eastAsia="Times New Roman" w:hAnsi="Calibri" w:cs="Calibri"/>
          <w:sz w:val="16"/>
          <w:szCs w:val="16"/>
          <w:lang w:val="en-GB" w:eastAsia="en-GB"/>
        </w:rPr>
        <w:t>A/HRC/</w:t>
      </w:r>
      <w:r w:rsidR="009674ED" w:rsidRPr="00966140">
        <w:rPr>
          <w:rFonts w:ascii="Calibri" w:eastAsia="Times New Roman" w:hAnsi="Calibri" w:cs="Calibri"/>
          <w:sz w:val="16"/>
          <w:szCs w:val="16"/>
          <w:lang w:val="en-GB" w:eastAsia="en-GB"/>
        </w:rPr>
        <w:t>RES/</w:t>
      </w:r>
      <w:r w:rsidRPr="00966140">
        <w:rPr>
          <w:rFonts w:ascii="Calibri" w:eastAsia="Times New Roman" w:hAnsi="Calibri" w:cs="Calibri"/>
          <w:sz w:val="16"/>
          <w:szCs w:val="16"/>
          <w:lang w:val="en-GB" w:eastAsia="en-GB"/>
        </w:rPr>
        <w:t>40/11</w:t>
      </w:r>
      <w:r w:rsidR="009674ED" w:rsidRPr="00966140">
        <w:rPr>
          <w:rFonts w:ascii="Calibri" w:eastAsia="Times New Roman" w:hAnsi="Calibri" w:cs="Calibri"/>
          <w:sz w:val="16"/>
          <w:szCs w:val="16"/>
          <w:lang w:val="en-GB" w:eastAsia="en-GB"/>
        </w:rPr>
        <w:t xml:space="preserve"> (2019)</w:t>
      </w:r>
      <w:r w:rsidRPr="00966140">
        <w:rPr>
          <w:rFonts w:ascii="Calibri" w:eastAsia="Times New Roman" w:hAnsi="Calibri" w:cs="Calibri"/>
          <w:sz w:val="16"/>
          <w:szCs w:val="16"/>
          <w:lang w:val="en-GB" w:eastAsia="en-GB"/>
        </w:rPr>
        <w:t xml:space="preserve"> on</w:t>
      </w:r>
      <w:r w:rsidRPr="00966140">
        <w:rPr>
          <w:rFonts w:ascii="Calibri" w:hAnsi="Calibri"/>
          <w:sz w:val="16"/>
          <w:szCs w:val="16"/>
          <w:lang w:val="en-GB"/>
        </w:rPr>
        <w:t xml:space="preserve"> "Recognizing the contribution of environmental human rights defenders to the enjoyment of human rights, environmental protection and sustainable development</w:t>
      </w:r>
      <w:r w:rsidR="009674ED" w:rsidRPr="00966140">
        <w:rPr>
          <w:rFonts w:ascii="Calibri" w:hAnsi="Calibri"/>
          <w:sz w:val="16"/>
          <w:szCs w:val="16"/>
          <w:lang w:val="en-GB"/>
        </w:rPr>
        <w:t>.</w:t>
      </w:r>
    </w:p>
  </w:footnote>
  <w:footnote w:id="13">
    <w:p w14:paraId="7041A557" w14:textId="4C0B6150" w:rsidR="009674ED" w:rsidRPr="00966140" w:rsidRDefault="009674E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bookmarkStart w:id="2" w:name="_Hlk11362363"/>
      <w:r w:rsidRPr="00966140">
        <w:rPr>
          <w:rFonts w:ascii="Calibri" w:hAnsi="Calibri" w:cs="Times New Roman"/>
          <w:sz w:val="16"/>
          <w:szCs w:val="16"/>
          <w:lang w:val="en-US"/>
        </w:rPr>
        <w:t>2018 Day of General Discussion outcome report.</w:t>
      </w:r>
      <w:bookmarkEnd w:id="2"/>
    </w:p>
  </w:footnote>
  <w:footnote w:id="14">
    <w:p w14:paraId="44D9D815" w14:textId="769E6598"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r w:rsidRPr="00966140">
        <w:rPr>
          <w:rFonts w:ascii="Calibri" w:hAnsi="Calibri"/>
          <w:sz w:val="16"/>
          <w:szCs w:val="16"/>
          <w:lang w:val="en-US"/>
        </w:rPr>
        <w:t>The views, perspectives and recommendations of children across the world, Child Rights Connect</w:t>
      </w:r>
      <w:r w:rsidR="009674ED" w:rsidRPr="00966140">
        <w:rPr>
          <w:rFonts w:ascii="Calibri" w:hAnsi="Calibri"/>
          <w:sz w:val="16"/>
          <w:szCs w:val="16"/>
          <w:lang w:val="en-US"/>
        </w:rPr>
        <w:t>.</w:t>
      </w:r>
    </w:p>
  </w:footnote>
  <w:footnote w:id="15">
    <w:p w14:paraId="2E35A20D" w14:textId="582F685C"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009674ED" w:rsidRPr="00966140">
        <w:rPr>
          <w:rFonts w:ascii="Calibri" w:hAnsi="Calibri" w:cs="Times New Roman"/>
          <w:sz w:val="16"/>
          <w:szCs w:val="16"/>
          <w:lang w:val="en-US"/>
        </w:rPr>
        <w:t>2018 Day of General Discussion outcome report.</w:t>
      </w:r>
    </w:p>
  </w:footnote>
  <w:footnote w:id="16">
    <w:p w14:paraId="1665937F" w14:textId="30DB3300"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cs="Times New Roman"/>
          <w:sz w:val="16"/>
          <w:szCs w:val="16"/>
          <w:lang w:val="en-US"/>
        </w:rPr>
        <w:t>2018 Day of General Discussion outcome report</w:t>
      </w:r>
      <w:r w:rsidR="00966140" w:rsidRPr="00966140">
        <w:rPr>
          <w:rFonts w:ascii="Calibri" w:hAnsi="Calibri" w:cs="Times New Roman"/>
          <w:sz w:val="16"/>
          <w:szCs w:val="16"/>
          <w:lang w:val="en-US"/>
        </w:rPr>
        <w:t>.</w:t>
      </w:r>
    </w:p>
  </w:footnote>
  <w:footnote w:id="17">
    <w:p w14:paraId="0D48762C" w14:textId="24FA2F58"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proofErr w:type="gramStart"/>
      <w:r w:rsidRPr="00966140">
        <w:rPr>
          <w:sz w:val="16"/>
          <w:szCs w:val="16"/>
          <w:lang w:val="en-GB"/>
        </w:rPr>
        <w:t>In particular, article</w:t>
      </w:r>
      <w:proofErr w:type="gramEnd"/>
      <w:r w:rsidRPr="00966140">
        <w:rPr>
          <w:sz w:val="16"/>
          <w:szCs w:val="16"/>
          <w:lang w:val="en-GB"/>
        </w:rPr>
        <w:t xml:space="preserve"> 6 of the CRC protects the child’s right to life and obligates States to “ensure to the maximum extent possible the survival and development of the child.”  Further, article 19 requires States to take various “measures to protect the child from all forms of physical or mental violence, injury or abuse, neglect or negligent treatment, maltreatment or exploitation, including sexual abuse” while under the care of others. </w:t>
      </w:r>
      <w:r w:rsidRPr="00966140" w:rsidDel="002D0981">
        <w:rPr>
          <w:sz w:val="16"/>
          <w:szCs w:val="16"/>
          <w:lang w:val="en-GB"/>
        </w:rPr>
        <w:t>These provisions, and others, protect children from abuse when they act as human rights defenders, and when they take actions in support of human rights defenders.</w:t>
      </w:r>
    </w:p>
  </w:footnote>
  <w:footnote w:id="18">
    <w:p w14:paraId="4A211188" w14:textId="38BE9E44"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sz w:val="16"/>
          <w:szCs w:val="16"/>
          <w:lang w:val="en-US"/>
        </w:rPr>
        <w:t xml:space="preserve">2018 </w:t>
      </w:r>
      <w:r w:rsidRPr="00966140">
        <w:rPr>
          <w:rFonts w:ascii="Calibri" w:hAnsi="Calibri" w:cs="Times New Roman"/>
          <w:sz w:val="16"/>
          <w:szCs w:val="16"/>
          <w:lang w:val="en-US"/>
        </w:rPr>
        <w:t>Day of General Discussion</w:t>
      </w:r>
      <w:r w:rsidRPr="00966140">
        <w:rPr>
          <w:rFonts w:ascii="Calibri" w:hAnsi="Calibri"/>
          <w:sz w:val="16"/>
          <w:szCs w:val="16"/>
          <w:lang w:val="en-US"/>
        </w:rPr>
        <w:t xml:space="preserve"> Concept Note</w:t>
      </w:r>
      <w:r w:rsidR="00966140" w:rsidRPr="00966140">
        <w:rPr>
          <w:rFonts w:ascii="Calibri" w:hAnsi="Calibri"/>
          <w:sz w:val="16"/>
          <w:szCs w:val="16"/>
          <w:lang w:val="en-US"/>
        </w:rPr>
        <w:t>.</w:t>
      </w:r>
    </w:p>
  </w:footnote>
  <w:footnote w:id="19">
    <w:p w14:paraId="0C41F607" w14:textId="55A7CA06"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w:t>
      </w:r>
      <w:r w:rsidRPr="00966140">
        <w:rPr>
          <w:rFonts w:ascii="Calibri" w:hAnsi="Calibri" w:cs="Times New Roman"/>
          <w:sz w:val="16"/>
          <w:szCs w:val="16"/>
          <w:lang w:val="en-US"/>
        </w:rPr>
        <w:t>2018 Day of General Discussion outcome report</w:t>
      </w:r>
      <w:r w:rsidR="00966140" w:rsidRPr="00966140">
        <w:rPr>
          <w:rFonts w:ascii="Calibri" w:hAnsi="Calibri" w:cs="Times New Roman"/>
          <w:sz w:val="16"/>
          <w:szCs w:val="16"/>
          <w:lang w:val="en-US"/>
        </w:rPr>
        <w:t>.</w:t>
      </w:r>
    </w:p>
  </w:footnote>
  <w:footnote w:id="20">
    <w:p w14:paraId="4D82E46C" w14:textId="7EB871F9" w:rsidR="00B22E8D" w:rsidRPr="00C87691" w:rsidRDefault="00B22E8D" w:rsidP="00966140">
      <w:pPr>
        <w:jc w:val="both"/>
        <w:rPr>
          <w:rFonts w:ascii="Calibri" w:hAnsi="Calibri" w:cs="Times New Roman"/>
          <w:color w:val="000000" w:themeColor="text1"/>
          <w:sz w:val="16"/>
          <w:szCs w:val="16"/>
          <w:lang w:val="en-US"/>
        </w:rPr>
      </w:pPr>
      <w:r w:rsidRPr="00966140">
        <w:rPr>
          <w:rStyle w:val="FootnoteReference"/>
          <w:sz w:val="16"/>
          <w:szCs w:val="16"/>
        </w:rPr>
        <w:footnoteRef/>
      </w:r>
      <w:r w:rsidRPr="00966140">
        <w:rPr>
          <w:sz w:val="16"/>
          <w:szCs w:val="16"/>
          <w:lang w:val="en-GB"/>
        </w:rPr>
        <w:t xml:space="preserve"> </w:t>
      </w:r>
      <w:r w:rsidRPr="00966140">
        <w:rPr>
          <w:rFonts w:ascii="Calibri" w:hAnsi="Calibri" w:cs="Times New Roman"/>
          <w:sz w:val="16"/>
          <w:szCs w:val="16"/>
          <w:lang w:val="en-US"/>
        </w:rPr>
        <w:t xml:space="preserve">Inputs for the report of the UN Special Rapporteur </w:t>
      </w:r>
      <w:proofErr w:type="gramStart"/>
      <w:r w:rsidRPr="00966140">
        <w:rPr>
          <w:rFonts w:ascii="Calibri" w:hAnsi="Calibri" w:cs="Times New Roman"/>
          <w:sz w:val="16"/>
          <w:szCs w:val="16"/>
          <w:lang w:val="en-US"/>
        </w:rPr>
        <w:t>on the situation of</w:t>
      </w:r>
      <w:proofErr w:type="gramEnd"/>
      <w:r w:rsidRPr="00966140">
        <w:rPr>
          <w:rFonts w:ascii="Calibri" w:hAnsi="Calibri" w:cs="Times New Roman"/>
          <w:sz w:val="16"/>
          <w:szCs w:val="16"/>
          <w:lang w:val="en-US"/>
        </w:rPr>
        <w:t xml:space="preserve"> Human Rights Defenders to the 74th session of the General Assembly, </w:t>
      </w:r>
      <w:r w:rsidRPr="00C87691">
        <w:rPr>
          <w:rFonts w:ascii="Calibri" w:hAnsi="Calibri" w:cs="Times New Roman"/>
          <w:color w:val="000000" w:themeColor="text1"/>
          <w:sz w:val="16"/>
          <w:szCs w:val="16"/>
          <w:lang w:val="en-US"/>
        </w:rPr>
        <w:t>Child Rights Connect</w:t>
      </w:r>
      <w:r w:rsidR="00966140" w:rsidRPr="00C87691">
        <w:rPr>
          <w:rFonts w:ascii="Calibri" w:hAnsi="Calibri" w:cs="Times New Roman"/>
          <w:color w:val="000000" w:themeColor="text1"/>
          <w:sz w:val="16"/>
          <w:szCs w:val="16"/>
          <w:lang w:val="en-US"/>
        </w:rPr>
        <w:t>.</w:t>
      </w:r>
    </w:p>
  </w:footnote>
  <w:footnote w:id="21">
    <w:p w14:paraId="29990174" w14:textId="3D40A43F" w:rsidR="00B22E8D" w:rsidRPr="00966140" w:rsidRDefault="00B22E8D" w:rsidP="00966140">
      <w:pPr>
        <w:pStyle w:val="FootnoteText"/>
        <w:jc w:val="both"/>
        <w:rPr>
          <w:rFonts w:ascii="Calibri" w:hAnsi="Calibri"/>
          <w:sz w:val="16"/>
          <w:szCs w:val="16"/>
          <w:lang w:val="en-GB"/>
        </w:rPr>
      </w:pPr>
      <w:r w:rsidRPr="00C87691">
        <w:rPr>
          <w:rStyle w:val="FootnoteReference"/>
          <w:rFonts w:ascii="Calibri" w:hAnsi="Calibri"/>
          <w:color w:val="000000" w:themeColor="text1"/>
          <w:sz w:val="16"/>
          <w:szCs w:val="16"/>
        </w:rPr>
        <w:footnoteRef/>
      </w:r>
      <w:r w:rsidRPr="00C87691">
        <w:rPr>
          <w:rFonts w:ascii="Calibri" w:hAnsi="Calibri"/>
          <w:color w:val="000000" w:themeColor="text1"/>
          <w:sz w:val="16"/>
          <w:szCs w:val="16"/>
          <w:lang w:val="en-GB"/>
        </w:rPr>
        <w:t xml:space="preserve"> </w:t>
      </w:r>
      <w:r w:rsidRPr="00C87691">
        <w:rPr>
          <w:rFonts w:ascii="Calibri" w:hAnsi="Calibri"/>
          <w:color w:val="000000" w:themeColor="text1"/>
          <w:sz w:val="16"/>
          <w:szCs w:val="16"/>
          <w:lang w:val="en-US"/>
        </w:rPr>
        <w:t xml:space="preserve">2018 </w:t>
      </w:r>
      <w:r w:rsidRPr="00C87691">
        <w:rPr>
          <w:rFonts w:ascii="Calibri" w:hAnsi="Calibri" w:cs="Times New Roman"/>
          <w:color w:val="000000" w:themeColor="text1"/>
          <w:sz w:val="16"/>
          <w:szCs w:val="16"/>
          <w:lang w:val="en-US"/>
        </w:rPr>
        <w:t xml:space="preserve">Day </w:t>
      </w:r>
      <w:r w:rsidRPr="00966140">
        <w:rPr>
          <w:rFonts w:ascii="Calibri" w:hAnsi="Calibri" w:cs="Times New Roman"/>
          <w:sz w:val="16"/>
          <w:szCs w:val="16"/>
          <w:lang w:val="en-US"/>
        </w:rPr>
        <w:t>of General Discussion</w:t>
      </w:r>
      <w:r w:rsidRPr="00966140">
        <w:rPr>
          <w:rFonts w:ascii="Calibri" w:hAnsi="Calibri"/>
          <w:sz w:val="16"/>
          <w:szCs w:val="16"/>
          <w:lang w:val="en-US"/>
        </w:rPr>
        <w:t xml:space="preserve"> Concept Note</w:t>
      </w:r>
    </w:p>
  </w:footnote>
  <w:footnote w:id="22">
    <w:p w14:paraId="0C830346" w14:textId="77777777"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cs="Times New Roman"/>
          <w:sz w:val="16"/>
          <w:szCs w:val="16"/>
          <w:lang w:val="en-US"/>
        </w:rPr>
        <w:t>2018 Day of General Discussion outcome report, “4.3.4 Role of legislature, Children’s Parliaments”</w:t>
      </w:r>
    </w:p>
  </w:footnote>
  <w:footnote w:id="23">
    <w:p w14:paraId="650B2BEA" w14:textId="2B267573"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cs="Times New Roman"/>
          <w:sz w:val="16"/>
          <w:szCs w:val="16"/>
          <w:lang w:val="en-US"/>
        </w:rPr>
        <w:t>General Comment No.12 (2009)</w:t>
      </w:r>
      <w:r w:rsidR="001C5C24" w:rsidRPr="00966140">
        <w:rPr>
          <w:rFonts w:ascii="Calibri" w:hAnsi="Calibri" w:cs="Times New Roman"/>
          <w:sz w:val="16"/>
          <w:szCs w:val="16"/>
          <w:lang w:val="en-US"/>
        </w:rPr>
        <w:t>,</w:t>
      </w:r>
      <w:r w:rsidRPr="00966140">
        <w:rPr>
          <w:rFonts w:ascii="Calibri" w:hAnsi="Calibri" w:cs="Times New Roman"/>
          <w:sz w:val="16"/>
          <w:szCs w:val="16"/>
          <w:lang w:val="en-US"/>
        </w:rPr>
        <w:t xml:space="preserve"> The right of the child to be heard, para</w:t>
      </w:r>
      <w:r w:rsidR="001C5C24" w:rsidRPr="00966140">
        <w:rPr>
          <w:rFonts w:ascii="Calibri" w:hAnsi="Calibri" w:cs="Times New Roman"/>
          <w:sz w:val="16"/>
          <w:szCs w:val="16"/>
          <w:lang w:val="en-US"/>
        </w:rPr>
        <w:t>s</w:t>
      </w:r>
      <w:r w:rsidRPr="00966140">
        <w:rPr>
          <w:rFonts w:ascii="Calibri" w:hAnsi="Calibri" w:cs="Times New Roman"/>
          <w:sz w:val="16"/>
          <w:szCs w:val="16"/>
          <w:lang w:val="en-US"/>
        </w:rPr>
        <w:t>.</w:t>
      </w:r>
      <w:r w:rsidR="001C5C24" w:rsidRPr="00966140">
        <w:rPr>
          <w:rFonts w:ascii="Calibri" w:hAnsi="Calibri" w:cs="Times New Roman"/>
          <w:sz w:val="16"/>
          <w:szCs w:val="16"/>
          <w:lang w:val="en-US"/>
        </w:rPr>
        <w:t xml:space="preserve"> </w:t>
      </w:r>
      <w:r w:rsidRPr="00966140">
        <w:rPr>
          <w:rFonts w:ascii="Calibri" w:hAnsi="Calibri" w:cs="Times New Roman"/>
          <w:sz w:val="16"/>
          <w:szCs w:val="16"/>
          <w:lang w:val="en-US"/>
        </w:rPr>
        <w:t>127-129</w:t>
      </w:r>
    </w:p>
  </w:footnote>
  <w:footnote w:id="24">
    <w:p w14:paraId="56F1F179" w14:textId="535743F0"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001C5C24" w:rsidRPr="00966140">
        <w:rPr>
          <w:rFonts w:ascii="Calibri" w:hAnsi="Calibri" w:cs="Times New Roman"/>
          <w:sz w:val="16"/>
          <w:szCs w:val="16"/>
          <w:lang w:val="en-US"/>
        </w:rPr>
        <w:t xml:space="preserve"> </w:t>
      </w:r>
      <w:r w:rsidRPr="00966140">
        <w:rPr>
          <w:rFonts w:ascii="Calibri" w:hAnsi="Calibri" w:cs="Times New Roman"/>
          <w:sz w:val="16"/>
          <w:szCs w:val="16"/>
          <w:lang w:val="en-US"/>
        </w:rPr>
        <w:t>2018 Day of General Discussion Background Paper: Protecting and empowering children as human rights defenders</w:t>
      </w:r>
      <w:r w:rsidRPr="00966140">
        <w:rPr>
          <w:rFonts w:ascii="Calibri" w:hAnsi="Calibri"/>
          <w:sz w:val="16"/>
          <w:szCs w:val="16"/>
          <w:lang w:val="en-GB"/>
        </w:rPr>
        <w:t xml:space="preserve">, </w:t>
      </w:r>
      <w:r w:rsidRPr="00966140">
        <w:rPr>
          <w:rFonts w:ascii="Calibri" w:hAnsi="Calibri" w:cs="Times New Roman"/>
          <w:sz w:val="16"/>
          <w:szCs w:val="16"/>
          <w:lang w:val="en-US"/>
        </w:rPr>
        <w:t>“Lack or inadequate environment and spaces for children human rights defenders to participate and report”</w:t>
      </w:r>
    </w:p>
  </w:footnote>
  <w:footnote w:id="25">
    <w:p w14:paraId="72022B41" w14:textId="395BAFB2" w:rsidR="00B22E8D" w:rsidRPr="00966140" w:rsidRDefault="00B22E8D"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hyperlink r:id="rId1" w:history="1">
        <w:r w:rsidRPr="00966140">
          <w:rPr>
            <w:rStyle w:val="Hyperlink"/>
            <w:sz w:val="16"/>
            <w:szCs w:val="16"/>
            <w:lang w:val="en-GB"/>
          </w:rPr>
          <w:t>Guidelines for States on the effective implementation of the right to participate in public affairs</w:t>
        </w:r>
      </w:hyperlink>
      <w:r w:rsidR="00C87691">
        <w:rPr>
          <w:rStyle w:val="Hyperlink"/>
          <w:sz w:val="16"/>
          <w:szCs w:val="16"/>
          <w:lang w:val="en-GB"/>
        </w:rPr>
        <w:t>, OHCHR (2019)</w:t>
      </w:r>
    </w:p>
  </w:footnote>
  <w:footnote w:id="26">
    <w:p w14:paraId="1E2B2799" w14:textId="5F20920B" w:rsidR="00B84545" w:rsidRPr="00B84545" w:rsidRDefault="00B84545">
      <w:pPr>
        <w:pStyle w:val="FootnoteText"/>
        <w:rPr>
          <w:rFonts w:ascii="Calibri" w:hAnsi="Calibri" w:cs="Times New Roman"/>
          <w:sz w:val="16"/>
          <w:szCs w:val="16"/>
          <w:lang w:val="en-US"/>
        </w:rPr>
      </w:pPr>
      <w:r w:rsidRPr="00B84545">
        <w:rPr>
          <w:rFonts w:ascii="Calibri" w:hAnsi="Calibri" w:cs="Times New Roman"/>
          <w:sz w:val="16"/>
          <w:szCs w:val="16"/>
          <w:lang w:val="en-US"/>
        </w:rPr>
        <w:footnoteRef/>
      </w:r>
      <w:r w:rsidRPr="00B84545">
        <w:rPr>
          <w:rFonts w:ascii="Calibri" w:hAnsi="Calibri" w:cs="Times New Roman"/>
          <w:sz w:val="16"/>
          <w:szCs w:val="16"/>
          <w:lang w:val="en-US"/>
        </w:rPr>
        <w:t xml:space="preserve"> Conceptual Framework for Measuring Outcomes of Adolescent Participation (March 2018), UNICEF. </w:t>
      </w:r>
    </w:p>
  </w:footnote>
  <w:footnote w:id="27">
    <w:p w14:paraId="5E50FFF2" w14:textId="7F8D980C" w:rsidR="00B22E8D" w:rsidRPr="00966140" w:rsidRDefault="00B22E8D" w:rsidP="00966140">
      <w:pPr>
        <w:pStyle w:val="FootnoteText"/>
        <w:jc w:val="both"/>
        <w:rPr>
          <w:rFonts w:ascii="Calibri" w:hAnsi="Calibri"/>
          <w:sz w:val="16"/>
          <w:szCs w:val="16"/>
          <w:lang w:val="en-US"/>
        </w:rPr>
      </w:pPr>
      <w:r w:rsidRPr="00966140">
        <w:rPr>
          <w:rStyle w:val="FootnoteReference"/>
          <w:rFonts w:ascii="Calibri" w:hAnsi="Calibri"/>
          <w:sz w:val="16"/>
          <w:szCs w:val="16"/>
        </w:rPr>
        <w:footnoteRef/>
      </w:r>
      <w:r w:rsidRPr="00966140">
        <w:rPr>
          <w:rFonts w:ascii="Calibri" w:hAnsi="Calibri"/>
          <w:sz w:val="16"/>
          <w:szCs w:val="16"/>
          <w:lang w:val="en-US"/>
        </w:rPr>
        <w:t xml:space="preserve"> The views, perspectives and recommendations of children across the world, Child Rights Connect</w:t>
      </w:r>
      <w:r w:rsidR="00C87691">
        <w:rPr>
          <w:rFonts w:ascii="Calibri" w:hAnsi="Calibri"/>
          <w:sz w:val="16"/>
          <w:szCs w:val="16"/>
          <w:lang w:val="en-US"/>
        </w:rPr>
        <w:t>.</w:t>
      </w:r>
      <w:r w:rsidRPr="00966140">
        <w:rPr>
          <w:rFonts w:ascii="Calibri" w:hAnsi="Calibri"/>
          <w:sz w:val="16"/>
          <w:szCs w:val="16"/>
          <w:lang w:val="en-US"/>
        </w:rPr>
        <w:t xml:space="preserve"> </w:t>
      </w:r>
    </w:p>
  </w:footnote>
  <w:footnote w:id="28">
    <w:p w14:paraId="53A3EEBC" w14:textId="187BC97C" w:rsidR="00B22E8D" w:rsidRPr="00966140" w:rsidRDefault="00B22E8D" w:rsidP="00966140">
      <w:pPr>
        <w:pStyle w:val="FootnoteText"/>
        <w:jc w:val="both"/>
        <w:rPr>
          <w:rFonts w:ascii="Calibri" w:hAnsi="Calibri"/>
          <w:sz w:val="16"/>
          <w:szCs w:val="16"/>
          <w:lang w:val="en-US"/>
        </w:rPr>
      </w:pPr>
      <w:r w:rsidRPr="00966140">
        <w:rPr>
          <w:rStyle w:val="FootnoteReference"/>
          <w:rFonts w:ascii="Calibri" w:hAnsi="Calibri"/>
          <w:sz w:val="16"/>
          <w:szCs w:val="16"/>
        </w:rPr>
        <w:footnoteRef/>
      </w:r>
      <w:r w:rsidRPr="00966140">
        <w:rPr>
          <w:rFonts w:ascii="Calibri" w:hAnsi="Calibri"/>
          <w:sz w:val="16"/>
          <w:szCs w:val="16"/>
          <w:lang w:val="en-US"/>
        </w:rPr>
        <w:t xml:space="preserve"> </w:t>
      </w:r>
      <w:r w:rsidRPr="00966140">
        <w:rPr>
          <w:rFonts w:ascii="Calibri" w:hAnsi="Calibri" w:cs="Times New Roman"/>
          <w:sz w:val="16"/>
          <w:szCs w:val="16"/>
          <w:lang w:val="en-US"/>
        </w:rPr>
        <w:t>Centre for Children’s Rights and Save the Children (2016), Enabling the exercise of civil and political rights: The Views of Children, and Centre for Children’s Rights</w:t>
      </w:r>
      <w:r w:rsidR="00C87691">
        <w:rPr>
          <w:rStyle w:val="Hyperlink"/>
          <w:rFonts w:ascii="Calibri" w:hAnsi="Calibri"/>
          <w:sz w:val="16"/>
          <w:szCs w:val="16"/>
          <w:lang w:val="en-US"/>
        </w:rPr>
        <w:t>.</w:t>
      </w:r>
    </w:p>
  </w:footnote>
  <w:footnote w:id="29">
    <w:p w14:paraId="682615F0" w14:textId="36603A64" w:rsidR="00B22E8D" w:rsidRPr="00966140" w:rsidRDefault="00B22E8D" w:rsidP="00966140">
      <w:pPr>
        <w:pStyle w:val="FootnoteText"/>
        <w:jc w:val="both"/>
        <w:rPr>
          <w:rFonts w:ascii="Calibri" w:hAnsi="Calibri"/>
          <w:sz w:val="16"/>
          <w:szCs w:val="16"/>
          <w:lang w:val="en-GB"/>
        </w:rPr>
      </w:pPr>
      <w:r w:rsidRPr="00966140">
        <w:rPr>
          <w:rStyle w:val="FootnoteReference"/>
          <w:rFonts w:ascii="Calibri" w:hAnsi="Calibri"/>
          <w:sz w:val="16"/>
          <w:szCs w:val="16"/>
        </w:rPr>
        <w:footnoteRef/>
      </w:r>
      <w:r w:rsidRPr="00966140">
        <w:rPr>
          <w:rFonts w:ascii="Calibri" w:hAnsi="Calibri"/>
          <w:sz w:val="16"/>
          <w:szCs w:val="16"/>
          <w:lang w:val="en-GB"/>
        </w:rPr>
        <w:t xml:space="preserve"> DGD submission of Save the Children, Girls Advocacy Alliance, Together (Scottish Alliance for Children’s Right)</w:t>
      </w:r>
      <w:r w:rsidR="00C87691">
        <w:rPr>
          <w:rFonts w:ascii="Calibri" w:hAnsi="Calibri"/>
          <w:sz w:val="16"/>
          <w:szCs w:val="16"/>
          <w:lang w:val="en-GB"/>
        </w:rPr>
        <w:t>.</w:t>
      </w:r>
    </w:p>
  </w:footnote>
  <w:footnote w:id="30">
    <w:p w14:paraId="179A8688" w14:textId="1CCEF0E9" w:rsidR="005A2565" w:rsidRPr="00966140" w:rsidRDefault="005A2565" w:rsidP="00966140">
      <w:pPr>
        <w:pStyle w:val="FootnoteText"/>
        <w:jc w:val="both"/>
        <w:rPr>
          <w:sz w:val="16"/>
          <w:szCs w:val="16"/>
          <w:lang w:val="en-GB"/>
        </w:rPr>
      </w:pPr>
      <w:r w:rsidRPr="00966140">
        <w:rPr>
          <w:rStyle w:val="FootnoteReference"/>
          <w:sz w:val="16"/>
          <w:szCs w:val="16"/>
        </w:rPr>
        <w:footnoteRef/>
      </w:r>
      <w:r w:rsidRPr="00966140">
        <w:rPr>
          <w:sz w:val="16"/>
          <w:szCs w:val="16"/>
          <w:lang w:val="en-GB"/>
        </w:rPr>
        <w:t xml:space="preserve"> </w:t>
      </w:r>
      <w:r w:rsidRPr="00966140">
        <w:rPr>
          <w:rFonts w:ascii="Calibri" w:hAnsi="Calibri"/>
          <w:sz w:val="16"/>
          <w:szCs w:val="16"/>
          <w:lang w:val="en-US"/>
        </w:rPr>
        <w:t>General comment No. 20 (2016) on the implementation of the rights of the child during adolescence.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0A9"/>
    <w:multiLevelType w:val="multilevel"/>
    <w:tmpl w:val="47B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A0C9B"/>
    <w:multiLevelType w:val="multilevel"/>
    <w:tmpl w:val="6D7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5E565C"/>
    <w:multiLevelType w:val="hybridMultilevel"/>
    <w:tmpl w:val="0382E1CC"/>
    <w:lvl w:ilvl="0" w:tplc="13B69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C54ED"/>
    <w:multiLevelType w:val="multilevel"/>
    <w:tmpl w:val="C4D8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4342E4"/>
    <w:multiLevelType w:val="hybridMultilevel"/>
    <w:tmpl w:val="AE5A4E14"/>
    <w:lvl w:ilvl="0" w:tplc="7D2ED7DE">
      <w:start w:val="1"/>
      <w:numFmt w:val="bullet"/>
      <w:lvlText w:val=""/>
      <w:lvlJc w:val="left"/>
      <w:pPr>
        <w:ind w:left="36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23"/>
    <w:rsid w:val="000010D2"/>
    <w:rsid w:val="00004B07"/>
    <w:rsid w:val="000058F1"/>
    <w:rsid w:val="000155D3"/>
    <w:rsid w:val="0002513B"/>
    <w:rsid w:val="00035F46"/>
    <w:rsid w:val="00052383"/>
    <w:rsid w:val="000567FD"/>
    <w:rsid w:val="00060223"/>
    <w:rsid w:val="000649E0"/>
    <w:rsid w:val="00084AAD"/>
    <w:rsid w:val="000B5751"/>
    <w:rsid w:val="000E1CAF"/>
    <w:rsid w:val="000E5E3C"/>
    <w:rsid w:val="00152157"/>
    <w:rsid w:val="0015351C"/>
    <w:rsid w:val="001A414D"/>
    <w:rsid w:val="001B423D"/>
    <w:rsid w:val="001B43A1"/>
    <w:rsid w:val="001C5C24"/>
    <w:rsid w:val="001C6C61"/>
    <w:rsid w:val="001E5485"/>
    <w:rsid w:val="00202334"/>
    <w:rsid w:val="00207D9F"/>
    <w:rsid w:val="002513C0"/>
    <w:rsid w:val="00255ECC"/>
    <w:rsid w:val="0026207B"/>
    <w:rsid w:val="00264C80"/>
    <w:rsid w:val="0029702F"/>
    <w:rsid w:val="002C7816"/>
    <w:rsid w:val="002D0981"/>
    <w:rsid w:val="002F4189"/>
    <w:rsid w:val="0030614C"/>
    <w:rsid w:val="00313A52"/>
    <w:rsid w:val="003226EC"/>
    <w:rsid w:val="00325EC0"/>
    <w:rsid w:val="00330704"/>
    <w:rsid w:val="00341215"/>
    <w:rsid w:val="003568BC"/>
    <w:rsid w:val="003740E6"/>
    <w:rsid w:val="003C064A"/>
    <w:rsid w:val="003C577B"/>
    <w:rsid w:val="003C602E"/>
    <w:rsid w:val="004020F9"/>
    <w:rsid w:val="00424FBB"/>
    <w:rsid w:val="00426857"/>
    <w:rsid w:val="004464E5"/>
    <w:rsid w:val="0045723D"/>
    <w:rsid w:val="00474526"/>
    <w:rsid w:val="0049741E"/>
    <w:rsid w:val="004B2408"/>
    <w:rsid w:val="004C336A"/>
    <w:rsid w:val="004D5EF8"/>
    <w:rsid w:val="004E43BD"/>
    <w:rsid w:val="005033B1"/>
    <w:rsid w:val="00526DB3"/>
    <w:rsid w:val="005347DF"/>
    <w:rsid w:val="00570851"/>
    <w:rsid w:val="005A2565"/>
    <w:rsid w:val="005C5E05"/>
    <w:rsid w:val="00613376"/>
    <w:rsid w:val="00613964"/>
    <w:rsid w:val="00615595"/>
    <w:rsid w:val="006772A0"/>
    <w:rsid w:val="00680FD3"/>
    <w:rsid w:val="00681B2A"/>
    <w:rsid w:val="006A2C1A"/>
    <w:rsid w:val="006A60AC"/>
    <w:rsid w:val="006B63B1"/>
    <w:rsid w:val="006D7C0E"/>
    <w:rsid w:val="006F2A03"/>
    <w:rsid w:val="006F50B9"/>
    <w:rsid w:val="006F521E"/>
    <w:rsid w:val="0073758F"/>
    <w:rsid w:val="00747E94"/>
    <w:rsid w:val="00754273"/>
    <w:rsid w:val="00762DB6"/>
    <w:rsid w:val="00780663"/>
    <w:rsid w:val="00783139"/>
    <w:rsid w:val="00785276"/>
    <w:rsid w:val="00796DBF"/>
    <w:rsid w:val="007A15CF"/>
    <w:rsid w:val="007A4BE1"/>
    <w:rsid w:val="007A69C5"/>
    <w:rsid w:val="007B4CD2"/>
    <w:rsid w:val="007B5735"/>
    <w:rsid w:val="007E6832"/>
    <w:rsid w:val="008024B8"/>
    <w:rsid w:val="008053F1"/>
    <w:rsid w:val="00811C5F"/>
    <w:rsid w:val="00825DC7"/>
    <w:rsid w:val="008379E0"/>
    <w:rsid w:val="00895B4D"/>
    <w:rsid w:val="008A4EEC"/>
    <w:rsid w:val="008B1656"/>
    <w:rsid w:val="008B2CA9"/>
    <w:rsid w:val="008C09FB"/>
    <w:rsid w:val="008C640D"/>
    <w:rsid w:val="008E790A"/>
    <w:rsid w:val="008F2B47"/>
    <w:rsid w:val="008F61A5"/>
    <w:rsid w:val="008F6986"/>
    <w:rsid w:val="00941845"/>
    <w:rsid w:val="009440B5"/>
    <w:rsid w:val="00966140"/>
    <w:rsid w:val="009674ED"/>
    <w:rsid w:val="009A66F4"/>
    <w:rsid w:val="009B0F39"/>
    <w:rsid w:val="00A027CD"/>
    <w:rsid w:val="00A05726"/>
    <w:rsid w:val="00A10044"/>
    <w:rsid w:val="00A16628"/>
    <w:rsid w:val="00A41D67"/>
    <w:rsid w:val="00A639DD"/>
    <w:rsid w:val="00AA4818"/>
    <w:rsid w:val="00AA5E0A"/>
    <w:rsid w:val="00AB0820"/>
    <w:rsid w:val="00AC250B"/>
    <w:rsid w:val="00AD693D"/>
    <w:rsid w:val="00AF5984"/>
    <w:rsid w:val="00B22E8D"/>
    <w:rsid w:val="00B41932"/>
    <w:rsid w:val="00B74135"/>
    <w:rsid w:val="00B84545"/>
    <w:rsid w:val="00B94F04"/>
    <w:rsid w:val="00BB231C"/>
    <w:rsid w:val="00BC1B5A"/>
    <w:rsid w:val="00BD49FC"/>
    <w:rsid w:val="00BE7AC9"/>
    <w:rsid w:val="00C45970"/>
    <w:rsid w:val="00C47EFB"/>
    <w:rsid w:val="00C72EEB"/>
    <w:rsid w:val="00C73366"/>
    <w:rsid w:val="00C73473"/>
    <w:rsid w:val="00C75C47"/>
    <w:rsid w:val="00C81C85"/>
    <w:rsid w:val="00C87691"/>
    <w:rsid w:val="00CA681E"/>
    <w:rsid w:val="00CC3844"/>
    <w:rsid w:val="00CC5EA2"/>
    <w:rsid w:val="00CD4132"/>
    <w:rsid w:val="00D13091"/>
    <w:rsid w:val="00D139D9"/>
    <w:rsid w:val="00D15590"/>
    <w:rsid w:val="00D23FD5"/>
    <w:rsid w:val="00D34B4F"/>
    <w:rsid w:val="00D478EF"/>
    <w:rsid w:val="00D75A6D"/>
    <w:rsid w:val="00D85BE0"/>
    <w:rsid w:val="00D91528"/>
    <w:rsid w:val="00DA647E"/>
    <w:rsid w:val="00DB1C6F"/>
    <w:rsid w:val="00E00D22"/>
    <w:rsid w:val="00E14EEC"/>
    <w:rsid w:val="00E227B8"/>
    <w:rsid w:val="00E24D94"/>
    <w:rsid w:val="00E26D63"/>
    <w:rsid w:val="00E32BE7"/>
    <w:rsid w:val="00E33309"/>
    <w:rsid w:val="00E35D56"/>
    <w:rsid w:val="00E72859"/>
    <w:rsid w:val="00E772FE"/>
    <w:rsid w:val="00ED042E"/>
    <w:rsid w:val="00F12701"/>
    <w:rsid w:val="00F32123"/>
    <w:rsid w:val="00F44E58"/>
    <w:rsid w:val="00F56F00"/>
    <w:rsid w:val="00F76F0F"/>
    <w:rsid w:val="00FB5028"/>
    <w:rsid w:val="00FD013B"/>
    <w:rsid w:val="00FD56B0"/>
    <w:rsid w:val="00FD73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073A"/>
  <w15:chartTrackingRefBased/>
  <w15:docId w15:val="{A4E67995-538D-4AC9-8E19-858CD2D6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33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3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811C5F"/>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811C5F"/>
    <w:rPr>
      <w:sz w:val="20"/>
      <w:szCs w:val="20"/>
    </w:rPr>
  </w:style>
  <w:style w:type="character" w:styleId="FootnoteReference">
    <w:name w:val="footnote reference"/>
    <w:aliases w:val="4_G,Footnotes refss,Footnote Ref,16 Point,Superscript 6 Point,Appel note de bas de p.,Footnote Refernece,Footnote number,ftref,a Footnote Reference,FZ,Appel note de bas de page"/>
    <w:basedOn w:val="DefaultParagraphFont"/>
    <w:uiPriority w:val="99"/>
    <w:unhideWhenUsed/>
    <w:rsid w:val="00811C5F"/>
    <w:rPr>
      <w:vertAlign w:val="superscript"/>
    </w:rPr>
  </w:style>
  <w:style w:type="paragraph" w:styleId="BalloonText">
    <w:name w:val="Balloon Text"/>
    <w:basedOn w:val="Normal"/>
    <w:link w:val="BalloonTextChar"/>
    <w:uiPriority w:val="99"/>
    <w:semiHidden/>
    <w:unhideWhenUsed/>
    <w:rsid w:val="00E32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E7"/>
    <w:rPr>
      <w:rFonts w:ascii="Segoe UI" w:hAnsi="Segoe UI" w:cs="Segoe UI"/>
      <w:sz w:val="18"/>
      <w:szCs w:val="18"/>
    </w:rPr>
  </w:style>
  <w:style w:type="character" w:styleId="CommentReference">
    <w:name w:val="annotation reference"/>
    <w:basedOn w:val="DefaultParagraphFont"/>
    <w:uiPriority w:val="99"/>
    <w:semiHidden/>
    <w:unhideWhenUsed/>
    <w:rsid w:val="00796DBF"/>
    <w:rPr>
      <w:sz w:val="16"/>
      <w:szCs w:val="16"/>
    </w:rPr>
  </w:style>
  <w:style w:type="paragraph" w:styleId="CommentText">
    <w:name w:val="annotation text"/>
    <w:basedOn w:val="Normal"/>
    <w:link w:val="CommentTextChar"/>
    <w:uiPriority w:val="99"/>
    <w:semiHidden/>
    <w:unhideWhenUsed/>
    <w:rsid w:val="00796DBF"/>
    <w:pPr>
      <w:spacing w:line="240" w:lineRule="auto"/>
    </w:pPr>
    <w:rPr>
      <w:sz w:val="20"/>
      <w:szCs w:val="20"/>
    </w:rPr>
  </w:style>
  <w:style w:type="character" w:customStyle="1" w:styleId="CommentTextChar">
    <w:name w:val="Comment Text Char"/>
    <w:basedOn w:val="DefaultParagraphFont"/>
    <w:link w:val="CommentText"/>
    <w:uiPriority w:val="99"/>
    <w:semiHidden/>
    <w:rsid w:val="00796DBF"/>
    <w:rPr>
      <w:sz w:val="20"/>
      <w:szCs w:val="20"/>
    </w:rPr>
  </w:style>
  <w:style w:type="paragraph" w:styleId="CommentSubject">
    <w:name w:val="annotation subject"/>
    <w:basedOn w:val="CommentText"/>
    <w:next w:val="CommentText"/>
    <w:link w:val="CommentSubjectChar"/>
    <w:uiPriority w:val="99"/>
    <w:semiHidden/>
    <w:unhideWhenUsed/>
    <w:rsid w:val="00796DBF"/>
    <w:rPr>
      <w:b/>
      <w:bCs/>
    </w:rPr>
  </w:style>
  <w:style w:type="character" w:customStyle="1" w:styleId="CommentSubjectChar">
    <w:name w:val="Comment Subject Char"/>
    <w:basedOn w:val="CommentTextChar"/>
    <w:link w:val="CommentSubject"/>
    <w:uiPriority w:val="99"/>
    <w:semiHidden/>
    <w:rsid w:val="00796DBF"/>
    <w:rPr>
      <w:b/>
      <w:bCs/>
      <w:sz w:val="20"/>
      <w:szCs w:val="20"/>
    </w:rPr>
  </w:style>
  <w:style w:type="character" w:styleId="Strong">
    <w:name w:val="Strong"/>
    <w:basedOn w:val="DefaultParagraphFont"/>
    <w:uiPriority w:val="22"/>
    <w:qFormat/>
    <w:rsid w:val="00796DBF"/>
    <w:rPr>
      <w:b/>
      <w:bCs/>
    </w:rPr>
  </w:style>
  <w:style w:type="paragraph" w:styleId="ListParagraph">
    <w:name w:val="List Paragraph"/>
    <w:aliases w:val="List Paragraph1,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49741E"/>
    <w:pPr>
      <w:ind w:left="720"/>
      <w:contextualSpacing/>
    </w:pPr>
  </w:style>
  <w:style w:type="character" w:styleId="Hyperlink">
    <w:name w:val="Hyperlink"/>
    <w:uiPriority w:val="99"/>
    <w:rsid w:val="006B63B1"/>
    <w:rPr>
      <w:color w:val="0000FF"/>
      <w:u w:val="single"/>
    </w:rPr>
  </w:style>
  <w:style w:type="character" w:customStyle="1" w:styleId="ListParagraphChar">
    <w:name w:val="List Paragraph Char"/>
    <w:aliases w:val="List Paragraph1 Char,List Paragraph à moi Char,bullets Char,action points Char,Bullet List Char,FooterText Char,Colorful List Accent 1 Char,numbered Char,Paragraphe de liste1 Char,列出段落 Char,列出段落1 Char,Bulletr List Paragraph Char"/>
    <w:basedOn w:val="DefaultParagraphFont"/>
    <w:link w:val="ListParagraph"/>
    <w:uiPriority w:val="34"/>
    <w:locked/>
    <w:rsid w:val="001E5485"/>
  </w:style>
  <w:style w:type="character" w:customStyle="1" w:styleId="Heading2Char">
    <w:name w:val="Heading 2 Char"/>
    <w:basedOn w:val="DefaultParagraphFont"/>
    <w:link w:val="Heading2"/>
    <w:uiPriority w:val="9"/>
    <w:rsid w:val="004C336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56F00"/>
    <w:pPr>
      <w:spacing w:after="0" w:line="240" w:lineRule="auto"/>
    </w:pPr>
  </w:style>
  <w:style w:type="paragraph" w:styleId="EndnoteText">
    <w:name w:val="endnote text"/>
    <w:basedOn w:val="Normal"/>
    <w:link w:val="EndnoteTextChar"/>
    <w:rsid w:val="000B5751"/>
    <w:pPr>
      <w:spacing w:after="240" w:line="240" w:lineRule="auto"/>
    </w:pPr>
    <w:rPr>
      <w:rFonts w:ascii="Times New Roman" w:eastAsia="Times New Roman" w:hAnsi="Times New Roman" w:cs="Times New Roman"/>
      <w:sz w:val="24"/>
      <w:szCs w:val="20"/>
      <w:lang w:val="en-GB"/>
    </w:rPr>
  </w:style>
  <w:style w:type="character" w:customStyle="1" w:styleId="EndnoteTextChar">
    <w:name w:val="Endnote Text Char"/>
    <w:basedOn w:val="DefaultParagraphFont"/>
    <w:link w:val="EndnoteText"/>
    <w:rsid w:val="000B5751"/>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1A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8335">
      <w:bodyDiv w:val="1"/>
      <w:marLeft w:val="0"/>
      <w:marRight w:val="0"/>
      <w:marTop w:val="0"/>
      <w:marBottom w:val="0"/>
      <w:divBdr>
        <w:top w:val="none" w:sz="0" w:space="0" w:color="auto"/>
        <w:left w:val="none" w:sz="0" w:space="0" w:color="auto"/>
        <w:bottom w:val="none" w:sz="0" w:space="0" w:color="auto"/>
        <w:right w:val="none" w:sz="0" w:space="0" w:color="auto"/>
      </w:divBdr>
    </w:div>
    <w:div w:id="1004934867">
      <w:bodyDiv w:val="1"/>
      <w:marLeft w:val="0"/>
      <w:marRight w:val="0"/>
      <w:marTop w:val="0"/>
      <w:marBottom w:val="0"/>
      <w:divBdr>
        <w:top w:val="none" w:sz="0" w:space="0" w:color="auto"/>
        <w:left w:val="none" w:sz="0" w:space="0" w:color="auto"/>
        <w:bottom w:val="none" w:sz="0" w:space="0" w:color="auto"/>
        <w:right w:val="none" w:sz="0" w:space="0" w:color="auto"/>
      </w:divBdr>
    </w:div>
    <w:div w:id="1693147636">
      <w:bodyDiv w:val="1"/>
      <w:marLeft w:val="0"/>
      <w:marRight w:val="0"/>
      <w:marTop w:val="0"/>
      <w:marBottom w:val="0"/>
      <w:divBdr>
        <w:top w:val="none" w:sz="0" w:space="0" w:color="auto"/>
        <w:left w:val="none" w:sz="0" w:space="0" w:color="auto"/>
        <w:bottom w:val="none" w:sz="0" w:space="0" w:color="auto"/>
        <w:right w:val="none" w:sz="0" w:space="0" w:color="auto"/>
      </w:divBdr>
    </w:div>
    <w:div w:id="1930960776">
      <w:bodyDiv w:val="1"/>
      <w:marLeft w:val="0"/>
      <w:marRight w:val="0"/>
      <w:marTop w:val="0"/>
      <w:marBottom w:val="0"/>
      <w:divBdr>
        <w:top w:val="none" w:sz="0" w:space="0" w:color="auto"/>
        <w:left w:val="none" w:sz="0" w:space="0" w:color="auto"/>
        <w:bottom w:val="none" w:sz="0" w:space="0" w:color="auto"/>
        <w:right w:val="none" w:sz="0" w:space="0" w:color="auto"/>
      </w:divBdr>
    </w:div>
    <w:div w:id="1937787915">
      <w:bodyDiv w:val="1"/>
      <w:marLeft w:val="0"/>
      <w:marRight w:val="0"/>
      <w:marTop w:val="0"/>
      <w:marBottom w:val="0"/>
      <w:divBdr>
        <w:top w:val="none" w:sz="0" w:space="0" w:color="auto"/>
        <w:left w:val="none" w:sz="0" w:space="0" w:color="auto"/>
        <w:bottom w:val="none" w:sz="0" w:space="0" w:color="auto"/>
        <w:right w:val="none" w:sz="0" w:space="0" w:color="auto"/>
      </w:divBdr>
    </w:div>
    <w:div w:id="2098165879">
      <w:bodyDiv w:val="1"/>
      <w:marLeft w:val="0"/>
      <w:marRight w:val="0"/>
      <w:marTop w:val="0"/>
      <w:marBottom w:val="0"/>
      <w:divBdr>
        <w:top w:val="none" w:sz="0" w:space="0" w:color="auto"/>
        <w:left w:val="none" w:sz="0" w:space="0" w:color="auto"/>
        <w:bottom w:val="none" w:sz="0" w:space="0" w:color="auto"/>
        <w:right w:val="none" w:sz="0" w:space="0" w:color="auto"/>
      </w:divBdr>
    </w:div>
    <w:div w:id="21338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PublicAffairs/GuidelinesRightParticipatePublicAffair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5576-D15E-4B79-BB60-ECA24723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Gracia</dc:creator>
  <cp:keywords/>
  <dc:description/>
  <cp:lastModifiedBy>Agnes Gracia</cp:lastModifiedBy>
  <cp:revision>2</cp:revision>
  <dcterms:created xsi:type="dcterms:W3CDTF">2019-06-17T08:51:00Z</dcterms:created>
  <dcterms:modified xsi:type="dcterms:W3CDTF">2019-06-17T08:51:00Z</dcterms:modified>
</cp:coreProperties>
</file>