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35B2" w14:textId="7AD0234F" w:rsidR="2E5D31CB" w:rsidRDefault="2E5D31CB" w:rsidP="2E5D31CB">
      <w:r>
        <w:rPr>
          <w:noProof/>
        </w:rPr>
        <w:drawing>
          <wp:inline distT="0" distB="0" distL="0" distR="0" wp14:anchorId="032C7939" wp14:editId="301EF66A">
            <wp:extent cx="1448419" cy="953542"/>
            <wp:effectExtent l="0" t="0" r="0" b="0"/>
            <wp:docPr id="1327424760" name="Picture 132742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8419" cy="953542"/>
                    </a:xfrm>
                    <a:prstGeom prst="rect">
                      <a:avLst/>
                    </a:prstGeom>
                  </pic:spPr>
                </pic:pic>
              </a:graphicData>
            </a:graphic>
          </wp:inline>
        </w:drawing>
      </w:r>
      <w:r w:rsidR="4F1EE4F8">
        <w:t xml:space="preserve">   </w:t>
      </w:r>
      <w:r>
        <w:rPr>
          <w:noProof/>
        </w:rPr>
        <w:drawing>
          <wp:inline distT="0" distB="0" distL="0" distR="0" wp14:anchorId="7A19D9DB" wp14:editId="02790363">
            <wp:extent cx="1568412" cy="509536"/>
            <wp:effectExtent l="0" t="0" r="0" b="0"/>
            <wp:docPr id="195239993" name="Picture 195239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8412" cy="509536"/>
                    </a:xfrm>
                    <a:prstGeom prst="rect">
                      <a:avLst/>
                    </a:prstGeom>
                  </pic:spPr>
                </pic:pic>
              </a:graphicData>
            </a:graphic>
          </wp:inline>
        </w:drawing>
      </w:r>
      <w:r w:rsidR="4F1EE4F8">
        <w:t xml:space="preserve">   </w:t>
      </w:r>
      <w:r>
        <w:rPr>
          <w:noProof/>
        </w:rPr>
        <w:drawing>
          <wp:inline distT="0" distB="0" distL="0" distR="0" wp14:anchorId="3D825BD5" wp14:editId="479C702C">
            <wp:extent cx="2258130" cy="672735"/>
            <wp:effectExtent l="0" t="0" r="0" b="0"/>
            <wp:docPr id="1933164675" name="Picture 1933164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8130" cy="672735"/>
                    </a:xfrm>
                    <a:prstGeom prst="rect">
                      <a:avLst/>
                    </a:prstGeom>
                  </pic:spPr>
                </pic:pic>
              </a:graphicData>
            </a:graphic>
          </wp:inline>
        </w:drawing>
      </w:r>
      <w:r w:rsidR="4F1EE4F8">
        <w:t xml:space="preserve">    </w:t>
      </w:r>
    </w:p>
    <w:p w14:paraId="56091052" w14:textId="4F7C1EAB" w:rsidR="78C5B955" w:rsidRDefault="78C5B955" w:rsidP="78C5B955">
      <w:r>
        <w:t xml:space="preserve"> </w:t>
      </w:r>
      <w:r>
        <w:rPr>
          <w:noProof/>
        </w:rPr>
        <w:drawing>
          <wp:inline distT="0" distB="0" distL="0" distR="0" wp14:anchorId="1EEB5658" wp14:editId="22973B3F">
            <wp:extent cx="1581150" cy="457200"/>
            <wp:effectExtent l="0" t="0" r="0" b="0"/>
            <wp:docPr id="1136354439" name="Picture 1136354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81150" cy="457200"/>
                    </a:xfrm>
                    <a:prstGeom prst="rect">
                      <a:avLst/>
                    </a:prstGeom>
                  </pic:spPr>
                </pic:pic>
              </a:graphicData>
            </a:graphic>
          </wp:inline>
        </w:drawing>
      </w:r>
      <w:r>
        <w:t xml:space="preserve">      </w:t>
      </w:r>
      <w:r>
        <w:rPr>
          <w:noProof/>
        </w:rPr>
        <w:drawing>
          <wp:inline distT="0" distB="0" distL="0" distR="0" wp14:anchorId="64F2487B" wp14:editId="7EDF3CD8">
            <wp:extent cx="1744486" cy="446264"/>
            <wp:effectExtent l="0" t="0" r="0" b="0"/>
            <wp:docPr id="1047552902" name="Picture 104755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44486" cy="446264"/>
                    </a:xfrm>
                    <a:prstGeom prst="rect">
                      <a:avLst/>
                    </a:prstGeom>
                  </pic:spPr>
                </pic:pic>
              </a:graphicData>
            </a:graphic>
          </wp:inline>
        </w:drawing>
      </w:r>
      <w:r>
        <w:t xml:space="preserve">     </w:t>
      </w:r>
      <w:r>
        <w:rPr>
          <w:noProof/>
        </w:rPr>
        <w:drawing>
          <wp:inline distT="0" distB="0" distL="0" distR="0" wp14:anchorId="27ED1B1A" wp14:editId="7208A65B">
            <wp:extent cx="1711925" cy="411107"/>
            <wp:effectExtent l="0" t="0" r="0" b="0"/>
            <wp:docPr id="2065037080" name="Picture 206503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11925" cy="411107"/>
                    </a:xfrm>
                    <a:prstGeom prst="rect">
                      <a:avLst/>
                    </a:prstGeom>
                  </pic:spPr>
                </pic:pic>
              </a:graphicData>
            </a:graphic>
          </wp:inline>
        </w:drawing>
      </w:r>
      <w:r>
        <w:t xml:space="preserve">                </w:t>
      </w:r>
    </w:p>
    <w:p w14:paraId="21146278" w14:textId="7DD48EE8" w:rsidR="0B525FDA" w:rsidRDefault="78C5B955" w:rsidP="78C5B955">
      <w:pPr>
        <w:spacing w:line="240" w:lineRule="auto"/>
      </w:pPr>
      <w:r>
        <w:t xml:space="preserve"> </w:t>
      </w:r>
    </w:p>
    <w:p w14:paraId="40F4CCC4" w14:textId="22B6CC10" w:rsidR="0B525FDA" w:rsidRPr="00B74FE1" w:rsidRDefault="3C1A3675" w:rsidP="3C1A3675">
      <w:pPr>
        <w:pStyle w:val="Heading2"/>
        <w:jc w:val="center"/>
        <w:rPr>
          <w:rFonts w:ascii="Times New Roman" w:eastAsia="Times New Roman" w:hAnsi="Times New Roman" w:cs="Times New Roman"/>
          <w:b/>
          <w:bCs/>
          <w:color w:val="auto"/>
          <w:sz w:val="24"/>
          <w:szCs w:val="24"/>
          <w:lang w:val="en-US"/>
        </w:rPr>
      </w:pPr>
      <w:r w:rsidRPr="00B74FE1">
        <w:rPr>
          <w:rFonts w:ascii="Times New Roman" w:eastAsia="Times New Roman" w:hAnsi="Times New Roman" w:cs="Times New Roman"/>
          <w:b/>
          <w:bCs/>
          <w:color w:val="auto"/>
          <w:sz w:val="24"/>
          <w:szCs w:val="24"/>
          <w:lang w:val="en-US"/>
        </w:rPr>
        <w:t>Inputs for the report of the UN Special Rapporteur on the situation of Human Rights Defenders to the 74th session of the General Assembly</w:t>
      </w:r>
    </w:p>
    <w:p w14:paraId="5347FF10" w14:textId="39F5C414" w:rsidR="0B525FDA" w:rsidRPr="00B74FE1" w:rsidRDefault="0B525FDA" w:rsidP="0B525FDA">
      <w:pPr>
        <w:rPr>
          <w:lang w:val="en-US"/>
        </w:rPr>
      </w:pPr>
    </w:p>
    <w:p w14:paraId="1819BADA" w14:textId="470AA672" w:rsidR="0B525FDA" w:rsidRPr="00B74FE1" w:rsidRDefault="4FC0C67B" w:rsidP="4FC0C67B">
      <w:pPr>
        <w:jc w:val="both"/>
        <w:rPr>
          <w:rFonts w:ascii="Times New Roman" w:eastAsia="Times New Roman" w:hAnsi="Times New Roman" w:cs="Times New Roman"/>
          <w:sz w:val="24"/>
          <w:szCs w:val="24"/>
          <w:lang w:val="en-US"/>
        </w:rPr>
      </w:pPr>
      <w:r w:rsidRPr="00B74FE1">
        <w:rPr>
          <w:rFonts w:asciiTheme="majorHAnsi" w:eastAsiaTheme="majorEastAsia" w:hAnsiTheme="majorHAnsi" w:cstheme="majorBidi"/>
          <w:b/>
          <w:bCs/>
          <w:sz w:val="24"/>
          <w:szCs w:val="24"/>
          <w:lang w:val="en-US"/>
        </w:rPr>
        <w:t>Topic:</w:t>
      </w:r>
      <w:r w:rsidRPr="00B74FE1">
        <w:rPr>
          <w:rFonts w:asciiTheme="majorHAnsi" w:eastAsiaTheme="majorEastAsia" w:hAnsiTheme="majorHAnsi" w:cstheme="majorBidi"/>
          <w:sz w:val="24"/>
          <w:szCs w:val="24"/>
          <w:lang w:val="en-US"/>
        </w:rPr>
        <w:t xml:space="preserve"> </w:t>
      </w:r>
      <w:r w:rsidRPr="00B74FE1">
        <w:rPr>
          <w:rFonts w:asciiTheme="majorHAnsi" w:eastAsiaTheme="majorEastAsia" w:hAnsiTheme="majorHAnsi" w:cstheme="majorBidi"/>
          <w:i/>
          <w:iCs/>
          <w:sz w:val="24"/>
          <w:szCs w:val="24"/>
          <w:lang w:val="en-US"/>
        </w:rPr>
        <w:t>Impunity for human rights violations and abuses committed against human rights defenders</w:t>
      </w:r>
    </w:p>
    <w:p w14:paraId="48627BD2" w14:textId="7359755A" w:rsidR="3C1A3675" w:rsidRDefault="3C1A3675" w:rsidP="3C1A3675">
      <w:pPr>
        <w:pStyle w:val="Heading3"/>
        <w:spacing w:line="240" w:lineRule="auto"/>
        <w:jc w:val="both"/>
        <w:rPr>
          <w:rFonts w:ascii="Times New Roman" w:eastAsia="Times New Roman" w:hAnsi="Times New Roman" w:cs="Times New Roman"/>
          <w:color w:val="auto"/>
          <w:lang w:val="en-US"/>
        </w:rPr>
      </w:pPr>
    </w:p>
    <w:p w14:paraId="13E0F55C" w14:textId="7B05515C" w:rsidR="0B525FDA" w:rsidRDefault="78C5B955" w:rsidP="78C5B955">
      <w:pPr>
        <w:pStyle w:val="Heading3"/>
        <w:spacing w:line="240" w:lineRule="auto"/>
        <w:jc w:val="both"/>
        <w:rPr>
          <w:rFonts w:ascii="Times New Roman" w:eastAsia="Times New Roman" w:hAnsi="Times New Roman" w:cs="Times New Roman"/>
          <w:color w:val="auto"/>
          <w:highlight w:val="yellow"/>
          <w:lang w:val="en-US"/>
        </w:rPr>
      </w:pPr>
      <w:r w:rsidRPr="78C5B955">
        <w:rPr>
          <w:rFonts w:ascii="Times New Roman" w:eastAsia="Times New Roman" w:hAnsi="Times New Roman" w:cs="Times New Roman"/>
          <w:color w:val="auto"/>
          <w:lang w:val="en-US"/>
        </w:rPr>
        <w:t xml:space="preserve">Submission by Child Rights Connect and its members including </w:t>
      </w:r>
      <w:hyperlink r:id="rId14">
        <w:r w:rsidRPr="00B74FE1">
          <w:rPr>
            <w:rFonts w:ascii="Times New Roman" w:eastAsia="Times New Roman" w:hAnsi="Times New Roman" w:cs="Times New Roman"/>
            <w:color w:val="auto"/>
            <w:lang w:val="en-US"/>
          </w:rPr>
          <w:t>Child Rights Coalition Asia (CRC Asia)</w:t>
        </w:r>
      </w:hyperlink>
      <w:r w:rsidRPr="78C5B955">
        <w:rPr>
          <w:rFonts w:ascii="Times New Roman" w:eastAsia="Times New Roman" w:hAnsi="Times New Roman" w:cs="Times New Roman"/>
          <w:color w:val="auto"/>
          <w:lang w:val="en-US"/>
        </w:rPr>
        <w:t xml:space="preserve"> and Defense for Children International (DCI), in cooperation with the Inter-American Children’s </w:t>
      </w:r>
      <w:bookmarkStart w:id="0" w:name="_GoBack"/>
      <w:r w:rsidRPr="78C5B955">
        <w:rPr>
          <w:rFonts w:ascii="Times New Roman" w:eastAsia="Times New Roman" w:hAnsi="Times New Roman" w:cs="Times New Roman"/>
          <w:color w:val="auto"/>
          <w:lang w:val="en-US"/>
        </w:rPr>
        <w:t xml:space="preserve">Institute </w:t>
      </w:r>
      <w:r w:rsidRPr="00B74FE1">
        <w:rPr>
          <w:rFonts w:ascii="Times New Roman" w:eastAsia="Times New Roman" w:hAnsi="Times New Roman" w:cs="Times New Roman"/>
          <w:color w:val="auto"/>
          <w:lang w:val="en-US"/>
        </w:rPr>
        <w:t>(Instituto Interamericano del Niño, la Niña y Adolescentes), the European Network of Ombudspersons for Children and Mikiko Otani (member of the Committee on the Rights of the Child).</w:t>
      </w:r>
      <w:bookmarkEnd w:id="0"/>
    </w:p>
    <w:p w14:paraId="407EAC66" w14:textId="096C852C" w:rsidR="0B525FDA" w:rsidRDefault="0B525FDA" w:rsidP="3C1A3675">
      <w:pPr>
        <w:spacing w:after="0" w:line="240" w:lineRule="auto"/>
        <w:rPr>
          <w:highlight w:val="yellow"/>
          <w:lang w:val="en-US"/>
        </w:rPr>
      </w:pPr>
    </w:p>
    <w:p w14:paraId="4F02425A" w14:textId="2097A9CD" w:rsidR="3C1A3675" w:rsidRDefault="3C1A3675" w:rsidP="3C1A3675">
      <w:pPr>
        <w:spacing w:after="0" w:line="240" w:lineRule="auto"/>
        <w:rPr>
          <w:highlight w:val="yellow"/>
          <w:lang w:val="en-US"/>
        </w:rPr>
      </w:pPr>
    </w:p>
    <w:p w14:paraId="580C6B8E" w14:textId="345D35E6" w:rsidR="00044CF4" w:rsidRPr="00C64ED0" w:rsidRDefault="78C5B955" w:rsidP="78C5B955">
      <w:pPr>
        <w:spacing w:after="0" w:line="240" w:lineRule="auto"/>
        <w:jc w:val="both"/>
        <w:rPr>
          <w:rFonts w:ascii="Times New Roman" w:hAnsi="Times New Roman" w:cs="Times New Roman"/>
          <w:sz w:val="24"/>
          <w:szCs w:val="24"/>
          <w:u w:val="single"/>
          <w:lang w:val="en-US"/>
        </w:rPr>
      </w:pPr>
      <w:r w:rsidRPr="78C5B955">
        <w:rPr>
          <w:rFonts w:ascii="Times New Roman" w:hAnsi="Times New Roman" w:cs="Times New Roman"/>
          <w:sz w:val="24"/>
          <w:szCs w:val="24"/>
          <w:u w:val="single"/>
          <w:lang w:val="en-US"/>
        </w:rPr>
        <w:t>The Combat against Impunity: a Core component of a Comprehensive Protection Policy for Human Rights Defenders</w:t>
      </w:r>
    </w:p>
    <w:p w14:paraId="6F870F09" w14:textId="77777777" w:rsidR="00044CF4" w:rsidRPr="00C64ED0" w:rsidRDefault="00044CF4" w:rsidP="00044CF4">
      <w:pPr>
        <w:spacing w:after="0" w:line="240" w:lineRule="auto"/>
        <w:jc w:val="both"/>
        <w:rPr>
          <w:rFonts w:ascii="Times New Roman" w:hAnsi="Times New Roman" w:cs="Times New Roman"/>
          <w:sz w:val="24"/>
          <w:szCs w:val="24"/>
          <w:lang w:val="en-US"/>
        </w:rPr>
      </w:pPr>
    </w:p>
    <w:p w14:paraId="2B58AE0D" w14:textId="1D1B550C" w:rsidR="00044CF4" w:rsidRPr="00CA10D1" w:rsidRDefault="00044CF4" w:rsidP="77007128">
      <w:pPr>
        <w:spacing w:after="0" w:line="240" w:lineRule="auto"/>
        <w:jc w:val="both"/>
        <w:rPr>
          <w:rFonts w:ascii="Times New Roman" w:hAnsi="Times New Roman" w:cs="Times New Roman"/>
          <w:sz w:val="24"/>
          <w:szCs w:val="24"/>
          <w:lang w:val="en-US"/>
        </w:rPr>
      </w:pPr>
      <w:r w:rsidRPr="00B328E1">
        <w:rPr>
          <w:rFonts w:ascii="Times New Roman" w:eastAsia="Times New Roman" w:hAnsi="Times New Roman" w:cs="Times New Roman"/>
          <w:sz w:val="24"/>
          <w:szCs w:val="24"/>
          <w:lang w:val="en-US"/>
        </w:rPr>
        <w:t>The work carried out by human rights defenders is essential for the implementation of human rights and the consolidation of the rule of law. Acts of violence against human rights defenders not only affect the guarantees they must have as human beings, but also undermine the fundamental role they play in society</w:t>
      </w:r>
      <w:r w:rsidRPr="00B328E1">
        <w:rPr>
          <w:rStyle w:val="FootnoteReference"/>
          <w:rFonts w:ascii="Times New Roman" w:eastAsia="Times New Roman" w:hAnsi="Times New Roman" w:cs="Times New Roman"/>
          <w:sz w:val="24"/>
          <w:szCs w:val="24"/>
          <w:lang w:val="en-US"/>
        </w:rPr>
        <w:footnoteReference w:id="1"/>
      </w:r>
      <w:r w:rsidRPr="00B328E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 xml:space="preserve">According to the Inter-American Commission on Human Rights, </w:t>
      </w:r>
      <w:r w:rsidRPr="00372C88">
        <w:rPr>
          <w:rFonts w:ascii="Times New Roman" w:hAnsi="Times New Roman" w:cs="Times New Roman"/>
          <w:sz w:val="24"/>
          <w:szCs w:val="24"/>
          <w:lang w:val="en-US"/>
        </w:rPr>
        <w:t>in addition to</w:t>
      </w:r>
      <w:r>
        <w:rPr>
          <w:rFonts w:ascii="Times New Roman" w:eastAsia="Times New Roman" w:hAnsi="Times New Roman" w:cs="Times New Roman"/>
          <w:sz w:val="24"/>
          <w:szCs w:val="24"/>
          <w:lang w:val="en-US"/>
        </w:rPr>
        <w:t xml:space="preserve"> </w:t>
      </w:r>
      <w:r w:rsidRPr="00372C88">
        <w:rPr>
          <w:rFonts w:ascii="Times New Roman" w:hAnsi="Times New Roman" w:cs="Times New Roman"/>
          <w:sz w:val="24"/>
          <w:szCs w:val="24"/>
          <w:lang w:val="en-US"/>
        </w:rPr>
        <w:t xml:space="preserve">affecting </w:t>
      </w:r>
      <w:r>
        <w:rPr>
          <w:rFonts w:ascii="Times New Roman" w:hAnsi="Times New Roman" w:cs="Times New Roman"/>
          <w:sz w:val="24"/>
          <w:szCs w:val="24"/>
          <w:lang w:val="en-US"/>
        </w:rPr>
        <w:t xml:space="preserve">the </w:t>
      </w:r>
      <w:r w:rsidRPr="00372C88">
        <w:rPr>
          <w:rFonts w:ascii="Times New Roman" w:hAnsi="Times New Roman" w:cs="Times New Roman"/>
          <w:sz w:val="24"/>
          <w:szCs w:val="24"/>
          <w:lang w:val="en-US"/>
        </w:rPr>
        <w:t>victims' right of access to justice,</w:t>
      </w:r>
      <w:r>
        <w:rPr>
          <w:rFonts w:ascii="Times New Roman" w:hAnsi="Times New Roman" w:cs="Times New Roman"/>
          <w:sz w:val="24"/>
          <w:szCs w:val="24"/>
          <w:lang w:val="en-US"/>
        </w:rPr>
        <w:t xml:space="preserve"> impunity -</w:t>
      </w:r>
      <w:r w:rsidRPr="00372C88">
        <w:rPr>
          <w:rFonts w:ascii="Times New Roman" w:hAnsi="Times New Roman" w:cs="Times New Roman"/>
          <w:sz w:val="24"/>
          <w:szCs w:val="24"/>
          <w:lang w:val="en-US"/>
        </w:rPr>
        <w:t>whether total or partial</w:t>
      </w:r>
      <w:r>
        <w:rPr>
          <w:rFonts w:ascii="Times New Roman" w:hAnsi="Times New Roman" w:cs="Times New Roman"/>
          <w:sz w:val="24"/>
          <w:szCs w:val="24"/>
          <w:lang w:val="en-US"/>
        </w:rPr>
        <w:t xml:space="preserve">-  </w:t>
      </w:r>
      <w:r w:rsidRPr="00372C88">
        <w:rPr>
          <w:rFonts w:ascii="Times New Roman" w:hAnsi="Times New Roman" w:cs="Times New Roman"/>
          <w:sz w:val="24"/>
          <w:szCs w:val="24"/>
          <w:lang w:val="en-US"/>
        </w:rPr>
        <w:t xml:space="preserve"> is a factor tending to hinder the </w:t>
      </w:r>
      <w:r>
        <w:rPr>
          <w:rFonts w:ascii="Times New Roman" w:hAnsi="Times New Roman" w:cs="Times New Roman"/>
          <w:sz w:val="24"/>
          <w:szCs w:val="24"/>
          <w:lang w:val="en-US"/>
        </w:rPr>
        <w:t>causes</w:t>
      </w:r>
      <w:r w:rsidRPr="00372C88">
        <w:rPr>
          <w:rFonts w:ascii="Times New Roman" w:hAnsi="Times New Roman" w:cs="Times New Roman"/>
          <w:sz w:val="24"/>
          <w:szCs w:val="24"/>
          <w:lang w:val="en-US"/>
        </w:rPr>
        <w:t xml:space="preserve"> promoted by</w:t>
      </w:r>
      <w:r>
        <w:rPr>
          <w:rFonts w:ascii="Times New Roman" w:eastAsia="Times New Roman" w:hAnsi="Times New Roman" w:cs="Times New Roman"/>
          <w:sz w:val="24"/>
          <w:szCs w:val="24"/>
          <w:lang w:val="en-US"/>
        </w:rPr>
        <w:t xml:space="preserve"> </w:t>
      </w:r>
      <w:r w:rsidRPr="00372C88">
        <w:rPr>
          <w:rFonts w:ascii="Times New Roman" w:hAnsi="Times New Roman" w:cs="Times New Roman"/>
          <w:sz w:val="24"/>
          <w:szCs w:val="24"/>
          <w:lang w:val="en-US"/>
        </w:rPr>
        <w:t>defenders</w:t>
      </w:r>
      <w:r>
        <w:rPr>
          <w:rFonts w:ascii="Times New Roman" w:hAnsi="Times New Roman" w:cs="Times New Roman"/>
          <w:sz w:val="24"/>
          <w:szCs w:val="24"/>
          <w:lang w:val="en-US"/>
        </w:rPr>
        <w:t xml:space="preserve"> as </w:t>
      </w:r>
      <w:r w:rsidRPr="00372C88">
        <w:rPr>
          <w:rFonts w:ascii="Times New Roman" w:hAnsi="Times New Roman" w:cs="Times New Roman"/>
          <w:sz w:val="24"/>
          <w:szCs w:val="24"/>
          <w:lang w:val="en-US"/>
        </w:rPr>
        <w:t>the ignorance of the real motives of the</w:t>
      </w:r>
      <w:r>
        <w:rPr>
          <w:rFonts w:ascii="Times New Roman" w:hAnsi="Times New Roman" w:cs="Times New Roman"/>
          <w:sz w:val="24"/>
          <w:szCs w:val="24"/>
          <w:lang w:val="en-US"/>
        </w:rPr>
        <w:t xml:space="preserve"> </w:t>
      </w:r>
      <w:r w:rsidRPr="00372C88">
        <w:rPr>
          <w:rFonts w:ascii="Times New Roman" w:hAnsi="Times New Roman" w:cs="Times New Roman"/>
          <w:sz w:val="24"/>
          <w:szCs w:val="24"/>
          <w:lang w:val="en-US"/>
        </w:rPr>
        <w:t>aggressions</w:t>
      </w:r>
      <w:r w:rsidRPr="00CA10D1">
        <w:rPr>
          <w:rFonts w:ascii="Times New Roman" w:hAnsi="Times New Roman" w:cs="Times New Roman"/>
          <w:sz w:val="24"/>
          <w:szCs w:val="24"/>
          <w:lang w:val="en-US"/>
        </w:rPr>
        <w:t xml:space="preserve"> </w:t>
      </w:r>
      <w:r w:rsidRPr="00372C88">
        <w:rPr>
          <w:rFonts w:ascii="Times New Roman" w:hAnsi="Times New Roman" w:cs="Times New Roman"/>
          <w:sz w:val="24"/>
          <w:szCs w:val="24"/>
          <w:lang w:val="en-US"/>
        </w:rPr>
        <w:t xml:space="preserve">or the lack of sanction on </w:t>
      </w:r>
      <w:r>
        <w:rPr>
          <w:rFonts w:ascii="Times New Roman" w:hAnsi="Times New Roman" w:cs="Times New Roman"/>
          <w:sz w:val="24"/>
          <w:szCs w:val="24"/>
          <w:lang w:val="en-US"/>
        </w:rPr>
        <w:t xml:space="preserve">its </w:t>
      </w:r>
      <w:r w:rsidRPr="00372C88">
        <w:rPr>
          <w:rFonts w:ascii="Times New Roman" w:hAnsi="Times New Roman" w:cs="Times New Roman"/>
          <w:sz w:val="24"/>
          <w:szCs w:val="24"/>
          <w:lang w:val="en-US"/>
        </w:rPr>
        <w:t>authors</w:t>
      </w:r>
      <w:r>
        <w:rPr>
          <w:rFonts w:ascii="Times New Roman" w:hAnsi="Times New Roman" w:cs="Times New Roman"/>
          <w:sz w:val="24"/>
          <w:szCs w:val="24"/>
          <w:lang w:val="en-US"/>
        </w:rPr>
        <w:t xml:space="preserve"> generates </w:t>
      </w:r>
      <w:r w:rsidRPr="00372C88">
        <w:rPr>
          <w:rFonts w:ascii="Times New Roman" w:hAnsi="Times New Roman" w:cs="Times New Roman"/>
          <w:sz w:val="24"/>
          <w:szCs w:val="24"/>
          <w:lang w:val="en-US"/>
        </w:rPr>
        <w:t>fear of new reprisals</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
      </w:r>
    </w:p>
    <w:p w14:paraId="041A0437" w14:textId="77777777" w:rsidR="00044CF4" w:rsidRDefault="00044CF4" w:rsidP="00044CF4">
      <w:pPr>
        <w:spacing w:after="0" w:line="240" w:lineRule="auto"/>
        <w:jc w:val="both"/>
        <w:rPr>
          <w:rFonts w:ascii="Times New Roman" w:hAnsi="Times New Roman" w:cs="Times New Roman"/>
          <w:sz w:val="24"/>
          <w:szCs w:val="24"/>
          <w:lang w:val="en-US"/>
        </w:rPr>
      </w:pPr>
    </w:p>
    <w:p w14:paraId="75205D23" w14:textId="77777777" w:rsidR="00044CF4" w:rsidRDefault="00044CF4" w:rsidP="00044CF4">
      <w:pPr>
        <w:spacing w:after="0" w:line="240" w:lineRule="auto"/>
        <w:jc w:val="both"/>
        <w:rPr>
          <w:rFonts w:ascii="Times New Roman" w:eastAsia="Times New Roman" w:hAnsi="Times New Roman" w:cs="Times New Roman"/>
          <w:sz w:val="24"/>
          <w:szCs w:val="24"/>
          <w:lang w:val="en-US"/>
        </w:rPr>
      </w:pPr>
      <w:r w:rsidRPr="00C64ED0">
        <w:rPr>
          <w:rFonts w:ascii="Times New Roman" w:hAnsi="Times New Roman" w:cs="Times New Roman"/>
          <w:sz w:val="24"/>
          <w:szCs w:val="24"/>
          <w:lang w:val="en-US"/>
        </w:rPr>
        <w:t>In its 2017 report “Towards a comprehensive policy of protection of human rights defenders”, the Inter-American Commission on Human Rights identifie</w:t>
      </w:r>
      <w:r>
        <w:rPr>
          <w:rFonts w:ascii="Times New Roman" w:hAnsi="Times New Roman" w:cs="Times New Roman"/>
          <w:sz w:val="24"/>
          <w:szCs w:val="24"/>
          <w:lang w:val="en-US"/>
        </w:rPr>
        <w:t>d</w:t>
      </w:r>
      <w:r w:rsidRPr="00C64ED0">
        <w:rPr>
          <w:rFonts w:ascii="Times New Roman" w:hAnsi="Times New Roman" w:cs="Times New Roman"/>
          <w:sz w:val="24"/>
          <w:szCs w:val="24"/>
          <w:lang w:val="en-US"/>
        </w:rPr>
        <w:t xml:space="preserve"> the combat against impunity</w:t>
      </w:r>
      <w:r>
        <w:rPr>
          <w:rFonts w:ascii="Times New Roman" w:hAnsi="Times New Roman" w:cs="Times New Roman"/>
          <w:sz w:val="24"/>
          <w:szCs w:val="24"/>
          <w:lang w:val="en-US"/>
        </w:rPr>
        <w:t xml:space="preserve"> -</w:t>
      </w:r>
      <w:r w:rsidRPr="00C64ED0">
        <w:rPr>
          <w:rFonts w:ascii="Times New Roman" w:hAnsi="Times New Roman" w:cs="Times New Roman"/>
          <w:sz w:val="24"/>
          <w:szCs w:val="24"/>
          <w:lang w:val="en-US"/>
        </w:rPr>
        <w:t>carrying out serious, independent and transparent investigations to identify intellectual and material authors, prosecuting them and guaranteeing adequate reparation - as a core component of  a comprehensive protection policy for human rights defenders</w:t>
      </w:r>
      <w:r>
        <w:rPr>
          <w:rStyle w:val="FootnoteReference"/>
          <w:rFonts w:ascii="Times New Roman" w:hAnsi="Times New Roman" w:cs="Times New Roman"/>
          <w:sz w:val="24"/>
          <w:szCs w:val="24"/>
          <w:lang w:val="en-US"/>
        </w:rPr>
        <w:footnoteReference w:id="3"/>
      </w:r>
      <w:r w:rsidRPr="00C64ED0">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Indeed, protection policies cannot be efficient when violations carried out against human rights defenders do not have </w:t>
      </w:r>
      <w:r>
        <w:rPr>
          <w:rFonts w:ascii="Times New Roman" w:eastAsia="Times New Roman" w:hAnsi="Times New Roman" w:cs="Times New Roman"/>
          <w:sz w:val="24"/>
          <w:szCs w:val="24"/>
          <w:lang w:val="en-US"/>
        </w:rPr>
        <w:lastRenderedPageBreak/>
        <w:t>consequences in terms of investigations, prosecution and guaranteeing reparations. “</w:t>
      </w:r>
      <w:r w:rsidRPr="00A6334A">
        <w:rPr>
          <w:rFonts w:ascii="Times New Roman" w:eastAsia="Times New Roman" w:hAnsi="Times New Roman" w:cs="Times New Roman"/>
          <w:sz w:val="24"/>
          <w:szCs w:val="24"/>
          <w:lang w:val="en-US"/>
        </w:rPr>
        <w:t>By deterring human rights defenders from</w:t>
      </w:r>
      <w:r>
        <w:rPr>
          <w:rFonts w:ascii="Times New Roman" w:eastAsia="Times New Roman" w:hAnsi="Times New Roman" w:cs="Times New Roman"/>
          <w:sz w:val="24"/>
          <w:szCs w:val="24"/>
          <w:lang w:val="en-US"/>
        </w:rPr>
        <w:t xml:space="preserve"> </w:t>
      </w:r>
      <w:r w:rsidRPr="00A6334A">
        <w:rPr>
          <w:rFonts w:ascii="Times New Roman" w:eastAsia="Times New Roman" w:hAnsi="Times New Roman" w:cs="Times New Roman"/>
          <w:sz w:val="24"/>
          <w:szCs w:val="24"/>
          <w:lang w:val="en-US"/>
        </w:rPr>
        <w:t>filing complaints and survivors of violations from seeking their support, impunity erodes</w:t>
      </w:r>
      <w:r>
        <w:rPr>
          <w:rFonts w:ascii="Times New Roman" w:eastAsia="Times New Roman" w:hAnsi="Times New Roman" w:cs="Times New Roman"/>
          <w:sz w:val="24"/>
          <w:szCs w:val="24"/>
          <w:lang w:val="en-US"/>
        </w:rPr>
        <w:t xml:space="preserve"> </w:t>
      </w:r>
      <w:r w:rsidRPr="00A6334A">
        <w:rPr>
          <w:rFonts w:ascii="Times New Roman" w:eastAsia="Times New Roman" w:hAnsi="Times New Roman" w:cs="Times New Roman"/>
          <w:sz w:val="24"/>
          <w:szCs w:val="24"/>
          <w:lang w:val="en-US"/>
        </w:rPr>
        <w:t>the rule of law in the country and encourages further violations</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4"/>
      </w:r>
    </w:p>
    <w:p w14:paraId="5F210A40" w14:textId="77777777" w:rsidR="00044CF4" w:rsidRDefault="00044CF4" w:rsidP="00D50CDD">
      <w:pPr>
        <w:spacing w:after="0" w:line="240" w:lineRule="auto"/>
        <w:jc w:val="both"/>
        <w:rPr>
          <w:rFonts w:ascii="Times New Roman" w:hAnsi="Times New Roman" w:cs="Times New Roman"/>
          <w:sz w:val="24"/>
          <w:szCs w:val="24"/>
          <w:u w:val="single"/>
          <w:lang w:val="en-US"/>
        </w:rPr>
      </w:pPr>
    </w:p>
    <w:p w14:paraId="11FFC829" w14:textId="01FF33D0" w:rsidR="00D50CDD" w:rsidRPr="00B328E1" w:rsidRDefault="00D50CDD" w:rsidP="00D50CDD">
      <w:pPr>
        <w:spacing w:after="0" w:line="240" w:lineRule="auto"/>
        <w:jc w:val="both"/>
        <w:rPr>
          <w:rFonts w:ascii="Times New Roman" w:hAnsi="Times New Roman" w:cs="Times New Roman"/>
          <w:sz w:val="24"/>
          <w:szCs w:val="24"/>
          <w:u w:val="single"/>
          <w:lang w:val="en-US"/>
        </w:rPr>
      </w:pPr>
      <w:r w:rsidRPr="00B328E1">
        <w:rPr>
          <w:rFonts w:ascii="Times New Roman" w:hAnsi="Times New Roman" w:cs="Times New Roman"/>
          <w:sz w:val="24"/>
          <w:szCs w:val="24"/>
          <w:u w:val="single"/>
          <w:lang w:val="en-US"/>
        </w:rPr>
        <w:t>Barriers to combat</w:t>
      </w:r>
      <w:r w:rsidR="00804333">
        <w:rPr>
          <w:rFonts w:ascii="Times New Roman" w:hAnsi="Times New Roman" w:cs="Times New Roman"/>
          <w:sz w:val="24"/>
          <w:szCs w:val="24"/>
          <w:u w:val="single"/>
          <w:lang w:val="en-US"/>
        </w:rPr>
        <w:t>ing the</w:t>
      </w:r>
      <w:r w:rsidRPr="00B328E1">
        <w:rPr>
          <w:rFonts w:ascii="Times New Roman" w:hAnsi="Times New Roman" w:cs="Times New Roman"/>
          <w:sz w:val="24"/>
          <w:szCs w:val="24"/>
          <w:u w:val="single"/>
          <w:lang w:val="en-US"/>
        </w:rPr>
        <w:t xml:space="preserve"> impunity </w:t>
      </w:r>
      <w:r w:rsidRPr="00FA78D5">
        <w:rPr>
          <w:rFonts w:ascii="Times New Roman" w:hAnsi="Times New Roman" w:cs="Times New Roman"/>
          <w:sz w:val="24"/>
          <w:szCs w:val="24"/>
          <w:u w:val="single"/>
          <w:lang w:val="en-US"/>
        </w:rPr>
        <w:t>affecting children human rights defenders</w:t>
      </w:r>
    </w:p>
    <w:p w14:paraId="1CAE98A6" w14:textId="77777777" w:rsidR="00D50CDD" w:rsidRPr="00B328E1" w:rsidRDefault="00D50CDD" w:rsidP="00D50CDD">
      <w:pPr>
        <w:spacing w:after="0" w:line="240" w:lineRule="auto"/>
        <w:jc w:val="both"/>
        <w:rPr>
          <w:rFonts w:ascii="Times New Roman" w:hAnsi="Times New Roman" w:cs="Times New Roman"/>
          <w:sz w:val="24"/>
          <w:szCs w:val="24"/>
          <w:u w:val="single"/>
          <w:lang w:val="en-US"/>
        </w:rPr>
      </w:pPr>
    </w:p>
    <w:p w14:paraId="7122E448" w14:textId="697F7DB5" w:rsidR="00D50CDD" w:rsidRPr="00B328E1" w:rsidRDefault="00D50CDD" w:rsidP="77007128">
      <w:pPr>
        <w:spacing w:after="0" w:line="240" w:lineRule="auto"/>
        <w:jc w:val="both"/>
        <w:rPr>
          <w:rFonts w:ascii="Times New Roman" w:hAnsi="Times New Roman" w:cs="Times New Roman"/>
          <w:sz w:val="24"/>
          <w:szCs w:val="24"/>
          <w:lang w:val="en-US"/>
        </w:rPr>
      </w:pPr>
      <w:r w:rsidRPr="00B328E1">
        <w:rPr>
          <w:rFonts w:ascii="Times New Roman" w:hAnsi="Times New Roman" w:cs="Times New Roman"/>
          <w:sz w:val="24"/>
          <w:szCs w:val="24"/>
          <w:lang w:val="en-US"/>
        </w:rPr>
        <w:t>Barriers in children’s ability to report a human rights violation deeply affect the combat against impunity</w:t>
      </w:r>
      <w:r w:rsidRPr="00487E4E">
        <w:rPr>
          <w:rFonts w:ascii="Times New Roman" w:hAnsi="Times New Roman" w:cs="Times New Roman"/>
          <w:sz w:val="24"/>
          <w:szCs w:val="24"/>
          <w:lang w:val="en-US"/>
        </w:rPr>
        <w:t xml:space="preserve"> </w:t>
      </w:r>
      <w:bookmarkStart w:id="1" w:name="_Hlk6390185"/>
      <w:r w:rsidRPr="00B328E1">
        <w:rPr>
          <w:rFonts w:ascii="Times New Roman" w:hAnsi="Times New Roman" w:cs="Times New Roman"/>
          <w:sz w:val="24"/>
          <w:szCs w:val="24"/>
          <w:lang w:val="en-US"/>
        </w:rPr>
        <w:t xml:space="preserve">affecting </w:t>
      </w:r>
      <w:r>
        <w:rPr>
          <w:rFonts w:ascii="Times New Roman" w:hAnsi="Times New Roman" w:cs="Times New Roman"/>
          <w:sz w:val="24"/>
          <w:szCs w:val="24"/>
          <w:lang w:val="en-US"/>
        </w:rPr>
        <w:t xml:space="preserve">children </w:t>
      </w:r>
      <w:r w:rsidRPr="00B328E1">
        <w:rPr>
          <w:rFonts w:ascii="Times New Roman" w:hAnsi="Times New Roman" w:cs="Times New Roman"/>
          <w:sz w:val="24"/>
          <w:szCs w:val="24"/>
          <w:lang w:val="en-US"/>
        </w:rPr>
        <w:t>human rights defenders</w:t>
      </w:r>
      <w:bookmarkEnd w:id="1"/>
      <w:r w:rsidR="00044CF4">
        <w:rPr>
          <w:rStyle w:val="FootnoteReference"/>
          <w:rFonts w:ascii="Times New Roman" w:hAnsi="Times New Roman" w:cs="Times New Roman"/>
          <w:sz w:val="24"/>
          <w:szCs w:val="24"/>
          <w:lang w:val="en-US"/>
        </w:rPr>
        <w:footnoteReference w:id="5"/>
      </w:r>
      <w:r w:rsidRPr="00B328E1">
        <w:rPr>
          <w:rFonts w:ascii="Times New Roman" w:hAnsi="Times New Roman" w:cs="Times New Roman"/>
          <w:sz w:val="24"/>
          <w:szCs w:val="24"/>
          <w:lang w:val="en-US"/>
        </w:rPr>
        <w:t>. Indeed, protection policies for human rights defenders seldom take into account the challenges and needs with regards to children human rights defenders.</w:t>
      </w:r>
    </w:p>
    <w:p w14:paraId="629C7F09" w14:textId="77777777" w:rsidR="00D50CDD" w:rsidRPr="00B328E1" w:rsidRDefault="00D50CDD" w:rsidP="00D50CDD">
      <w:pPr>
        <w:spacing w:after="0" w:line="240" w:lineRule="auto"/>
        <w:jc w:val="both"/>
        <w:rPr>
          <w:rFonts w:ascii="Times New Roman" w:hAnsi="Times New Roman" w:cs="Times New Roman"/>
          <w:sz w:val="24"/>
          <w:szCs w:val="24"/>
          <w:lang w:val="en-US"/>
        </w:rPr>
      </w:pPr>
    </w:p>
    <w:p w14:paraId="28C2773B" w14:textId="1D7B44FD" w:rsidR="00D50CDD" w:rsidRDefault="00D50CDD" w:rsidP="77007128">
      <w:pPr>
        <w:spacing w:after="0" w:line="240" w:lineRule="auto"/>
        <w:jc w:val="both"/>
        <w:rPr>
          <w:rFonts w:ascii="Times New Roman" w:hAnsi="Times New Roman" w:cs="Times New Roman"/>
          <w:sz w:val="24"/>
          <w:szCs w:val="24"/>
          <w:lang w:val="en-US"/>
        </w:rPr>
      </w:pPr>
      <w:r w:rsidRPr="00B328E1">
        <w:rPr>
          <w:rFonts w:ascii="Times New Roman" w:hAnsi="Times New Roman" w:cs="Times New Roman"/>
          <w:sz w:val="24"/>
          <w:szCs w:val="24"/>
          <w:lang w:val="en-US"/>
        </w:rPr>
        <w:t xml:space="preserve">In the context of the 2018 Day of General Discussion (DGD) on protecting and empowering children as human rights defenders, consultations took place with more than 2695 children in 53 countries from 5 regions </w:t>
      </w:r>
      <w:r w:rsidR="77007128" w:rsidRPr="77007128">
        <w:rPr>
          <w:rFonts w:ascii="Times New Roman" w:hAnsi="Times New Roman" w:cs="Times New Roman"/>
          <w:sz w:val="24"/>
          <w:szCs w:val="24"/>
          <w:lang w:val="en-US"/>
        </w:rPr>
        <w:t xml:space="preserve">of the world </w:t>
      </w:r>
      <w:r w:rsidRPr="00B328E1">
        <w:rPr>
          <w:rFonts w:ascii="Times New Roman" w:hAnsi="Times New Roman" w:cs="Times New Roman"/>
          <w:sz w:val="24"/>
          <w:szCs w:val="24"/>
          <w:lang w:val="en-US"/>
        </w:rPr>
        <w:t>(Africa, Asia-Pacific, Eastern Europe, Latin America &amp; the Caribbean, Western Europe and others). According to children</w:t>
      </w:r>
      <w:r w:rsidR="00044CF4">
        <w:rPr>
          <w:rFonts w:ascii="Times New Roman" w:hAnsi="Times New Roman" w:cs="Times New Roman"/>
          <w:sz w:val="24"/>
          <w:szCs w:val="24"/>
          <w:lang w:val="en-US"/>
        </w:rPr>
        <w:t>,</w:t>
      </w:r>
      <w:r w:rsidRPr="00B328E1">
        <w:rPr>
          <w:rFonts w:ascii="Times New Roman" w:hAnsi="Times New Roman" w:cs="Times New Roman"/>
          <w:sz w:val="24"/>
          <w:szCs w:val="24"/>
          <w:lang w:val="en-US"/>
        </w:rPr>
        <w:t xml:space="preserve"> core challenges to act as human rights defender centered on four key themes: 1) not being taken seriously; 2) not feeling safe; 3) not informed or unable to get information in ways they can understand and 4) not able</w:t>
      </w:r>
      <w:r w:rsidRPr="00B328E1">
        <w:rPr>
          <w:rStyle w:val="FootnoteReference"/>
          <w:rFonts w:ascii="Times New Roman" w:hAnsi="Times New Roman" w:cs="Times New Roman"/>
          <w:sz w:val="24"/>
          <w:szCs w:val="24"/>
          <w:lang w:val="en-US"/>
        </w:rPr>
        <w:footnoteReference w:id="6"/>
      </w:r>
      <w:r w:rsidRPr="00B328E1">
        <w:rPr>
          <w:rFonts w:ascii="Times New Roman" w:hAnsi="Times New Roman" w:cs="Times New Roman"/>
          <w:sz w:val="24"/>
          <w:szCs w:val="24"/>
          <w:lang w:val="en-US"/>
        </w:rPr>
        <w:t>.</w:t>
      </w:r>
    </w:p>
    <w:p w14:paraId="32887E48" w14:textId="77777777" w:rsidR="00044CF4" w:rsidRPr="00B328E1" w:rsidRDefault="00044CF4" w:rsidP="00D50CDD">
      <w:pPr>
        <w:spacing w:after="0" w:line="240" w:lineRule="auto"/>
        <w:jc w:val="both"/>
        <w:rPr>
          <w:rFonts w:ascii="Times New Roman" w:hAnsi="Times New Roman" w:cs="Times New Roman"/>
          <w:sz w:val="24"/>
          <w:szCs w:val="24"/>
          <w:lang w:val="en-US"/>
        </w:rPr>
      </w:pPr>
    </w:p>
    <w:p w14:paraId="4764C8AE" w14:textId="77777777" w:rsidR="00D50CDD" w:rsidRPr="00B328E1" w:rsidRDefault="00D50CDD" w:rsidP="00D50CDD">
      <w:pPr>
        <w:spacing w:after="0" w:line="240" w:lineRule="auto"/>
        <w:jc w:val="both"/>
        <w:rPr>
          <w:rFonts w:ascii="Times New Roman" w:hAnsi="Times New Roman" w:cs="Times New Roman"/>
          <w:sz w:val="24"/>
          <w:szCs w:val="24"/>
          <w:lang w:val="en-US"/>
        </w:rPr>
      </w:pPr>
      <w:r w:rsidRPr="00B328E1">
        <w:rPr>
          <w:rFonts w:ascii="Times New Roman" w:hAnsi="Times New Roman" w:cs="Times New Roman"/>
          <w:sz w:val="24"/>
          <w:szCs w:val="24"/>
          <w:lang w:val="en-US"/>
        </w:rPr>
        <w:t xml:space="preserve"> </w:t>
      </w:r>
    </w:p>
    <w:p w14:paraId="0073A889" w14:textId="77777777" w:rsidR="00D50CDD" w:rsidRPr="00B328E1" w:rsidRDefault="00D50CDD" w:rsidP="00D50CDD">
      <w:pPr>
        <w:pStyle w:val="ListParagraph"/>
        <w:numPr>
          <w:ilvl w:val="0"/>
          <w:numId w:val="8"/>
        </w:numPr>
        <w:spacing w:after="0" w:line="240" w:lineRule="auto"/>
        <w:jc w:val="both"/>
        <w:rPr>
          <w:rFonts w:ascii="Times New Roman" w:hAnsi="Times New Roman" w:cs="Times New Roman"/>
          <w:b/>
          <w:sz w:val="24"/>
          <w:szCs w:val="24"/>
          <w:lang w:val="en-US"/>
        </w:rPr>
      </w:pPr>
      <w:r w:rsidRPr="00B328E1">
        <w:rPr>
          <w:rFonts w:ascii="Times New Roman" w:hAnsi="Times New Roman" w:cs="Times New Roman"/>
          <w:b/>
          <w:sz w:val="24"/>
          <w:szCs w:val="24"/>
          <w:lang w:val="en-US"/>
        </w:rPr>
        <w:t xml:space="preserve">Not being taken seriously </w:t>
      </w:r>
    </w:p>
    <w:p w14:paraId="452A35AC" w14:textId="5198B996" w:rsidR="00D50CDD" w:rsidRDefault="00D50CDD" w:rsidP="0B04AE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negative image of children human rights defenders prevails.</w:t>
      </w:r>
      <w:r w:rsidRPr="00023099">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children, adults do not see them as competent and, due to cultural factors, children’s views are not respected</w:t>
      </w:r>
      <w:r w:rsidRPr="3C1A3675">
        <w:rPr>
          <w:rFonts w:ascii="Times New Roman" w:hAnsi="Times New Roman" w:cs="Times New Roman"/>
          <w:sz w:val="24"/>
          <w:szCs w:val="24"/>
          <w:lang w:val="en-US"/>
        </w:rPr>
        <w:t xml:space="preserve">. </w:t>
      </w:r>
    </w:p>
    <w:p w14:paraId="701543C4" w14:textId="60CA1EB9" w:rsidR="00D50CDD" w:rsidRDefault="0B04AE21" w:rsidP="77007128">
      <w:pPr>
        <w:spacing w:after="0" w:line="240" w:lineRule="auto"/>
        <w:jc w:val="both"/>
        <w:rPr>
          <w:rFonts w:ascii="Times New Roman" w:hAnsi="Times New Roman" w:cs="Times New Roman"/>
          <w:sz w:val="24"/>
          <w:szCs w:val="24"/>
          <w:lang w:val="en-US"/>
        </w:rPr>
      </w:pPr>
      <w:r w:rsidRPr="0B04AE21">
        <w:rPr>
          <w:rFonts w:ascii="Times New Roman" w:hAnsi="Times New Roman" w:cs="Times New Roman"/>
          <w:sz w:val="24"/>
          <w:szCs w:val="24"/>
          <w:lang w:val="en-US"/>
        </w:rPr>
        <w:t xml:space="preserve">There is an assumption that human rights and, the rights of children and adolescents in particular, must be defended by adults. This preconception is sought to be overcome through the recognition of children and adolescents who defend human rights. </w:t>
      </w:r>
      <w:r w:rsidR="3C1A3675" w:rsidRPr="3C1A3675">
        <w:rPr>
          <w:rFonts w:ascii="Times New Roman" w:hAnsi="Times New Roman" w:cs="Times New Roman"/>
          <w:sz w:val="24"/>
          <w:szCs w:val="24"/>
          <w:lang w:val="en-US"/>
        </w:rPr>
        <w:t>Some parents and members of the community, including those in schools and in governments, still view children as “property.”</w:t>
      </w:r>
      <w:r w:rsidR="00D50CDD" w:rsidRPr="3C1A3675">
        <w:rPr>
          <w:rFonts w:ascii="Times New Roman" w:hAnsi="Times New Roman" w:cs="Times New Roman"/>
          <w:sz w:val="24"/>
          <w:szCs w:val="24"/>
          <w:lang w:val="en-US"/>
        </w:rPr>
        <w:footnoteReference w:id="7"/>
      </w:r>
      <w:r w:rsidR="00D50CDD" w:rsidRPr="3C1A3675">
        <w:rPr>
          <w:rFonts w:ascii="Times New Roman" w:hAnsi="Times New Roman" w:cs="Times New Roman"/>
          <w:sz w:val="24"/>
          <w:szCs w:val="24"/>
          <w:lang w:val="en-US"/>
        </w:rPr>
        <w:t xml:space="preserve"> </w:t>
      </w:r>
      <w:r w:rsidR="00D50CDD">
        <w:rPr>
          <w:rFonts w:ascii="Times New Roman" w:hAnsi="Times New Roman" w:cs="Times New Roman"/>
          <w:sz w:val="24"/>
          <w:szCs w:val="24"/>
          <w:lang w:val="en-US"/>
        </w:rPr>
        <w:t>When children report a human rights violation they are seldom taken seriously and listened to.  L</w:t>
      </w:r>
      <w:r w:rsidR="00D50CDD" w:rsidRPr="00A45EC2">
        <w:rPr>
          <w:rFonts w:ascii="Times New Roman" w:hAnsi="Times New Roman" w:cs="Times New Roman"/>
          <w:sz w:val="24"/>
          <w:szCs w:val="24"/>
          <w:lang w:val="en-US"/>
        </w:rPr>
        <w:t>ocal authorities, especially the police forces,</w:t>
      </w:r>
      <w:r w:rsidR="00D50CDD">
        <w:rPr>
          <w:rFonts w:ascii="Times New Roman" w:hAnsi="Times New Roman" w:cs="Times New Roman"/>
          <w:sz w:val="24"/>
          <w:szCs w:val="24"/>
          <w:lang w:val="en-US"/>
        </w:rPr>
        <w:t xml:space="preserve"> have not received the </w:t>
      </w:r>
      <w:r w:rsidR="00D50CDD" w:rsidRPr="3C1A3675">
        <w:rPr>
          <w:rFonts w:ascii="Times New Roman" w:hAnsi="Times New Roman" w:cs="Times New Roman"/>
          <w:sz w:val="24"/>
          <w:szCs w:val="24"/>
          <w:lang w:val="en-US"/>
        </w:rPr>
        <w:t>proper</w:t>
      </w:r>
      <w:r w:rsidR="00D50CDD">
        <w:rPr>
          <w:rFonts w:ascii="Times New Roman" w:hAnsi="Times New Roman" w:cs="Times New Roman"/>
          <w:sz w:val="24"/>
          <w:szCs w:val="24"/>
          <w:lang w:val="en-US"/>
        </w:rPr>
        <w:t xml:space="preserve"> training to deal with children. Thus, adults can </w:t>
      </w:r>
      <w:r w:rsidR="00D50CDD" w:rsidRPr="00A45EC2">
        <w:rPr>
          <w:rFonts w:ascii="Times New Roman" w:hAnsi="Times New Roman" w:cs="Times New Roman"/>
          <w:sz w:val="24"/>
          <w:szCs w:val="24"/>
          <w:lang w:val="en-US"/>
        </w:rPr>
        <w:t xml:space="preserve">become gatekeepers, </w:t>
      </w:r>
      <w:r w:rsidR="00D50CDD">
        <w:rPr>
          <w:rFonts w:ascii="Times New Roman" w:hAnsi="Times New Roman" w:cs="Times New Roman"/>
          <w:sz w:val="24"/>
          <w:szCs w:val="24"/>
          <w:lang w:val="en-US"/>
        </w:rPr>
        <w:t xml:space="preserve">making </w:t>
      </w:r>
      <w:r w:rsidR="00D50CDD" w:rsidRPr="00A45EC2">
        <w:rPr>
          <w:rFonts w:ascii="Times New Roman" w:hAnsi="Times New Roman" w:cs="Times New Roman"/>
          <w:sz w:val="24"/>
          <w:szCs w:val="24"/>
          <w:lang w:val="en-US"/>
        </w:rPr>
        <w:t>the decision to take forward the reporting</w:t>
      </w:r>
      <w:r w:rsidR="00D50CDD">
        <w:rPr>
          <w:rFonts w:ascii="Times New Roman" w:hAnsi="Times New Roman" w:cs="Times New Roman"/>
          <w:sz w:val="24"/>
          <w:szCs w:val="24"/>
          <w:lang w:val="en-US"/>
        </w:rPr>
        <w:t xml:space="preserve"> depend almost entirely on them.</w:t>
      </w:r>
      <w:r w:rsidR="00D50CDD">
        <w:rPr>
          <w:rStyle w:val="FootnoteReference"/>
          <w:rFonts w:ascii="Times New Roman" w:hAnsi="Times New Roman" w:cs="Times New Roman"/>
          <w:sz w:val="24"/>
          <w:szCs w:val="24"/>
          <w:lang w:val="en-US"/>
        </w:rPr>
        <w:footnoteReference w:id="8"/>
      </w:r>
    </w:p>
    <w:p w14:paraId="7AD5B8A7" w14:textId="77777777" w:rsidR="00D50CDD" w:rsidRDefault="00D50CDD" w:rsidP="00D50CDD">
      <w:pPr>
        <w:spacing w:after="0" w:line="240" w:lineRule="auto"/>
        <w:jc w:val="both"/>
        <w:rPr>
          <w:rFonts w:ascii="Times New Roman" w:hAnsi="Times New Roman" w:cs="Times New Roman"/>
          <w:sz w:val="24"/>
          <w:szCs w:val="24"/>
          <w:lang w:val="en-US"/>
        </w:rPr>
      </w:pPr>
    </w:p>
    <w:p w14:paraId="7419CD2F" w14:textId="77777777" w:rsidR="00D50CDD" w:rsidRDefault="00D50CDD" w:rsidP="00D50CDD">
      <w:pPr>
        <w:pStyle w:val="ListParagraph"/>
        <w:numPr>
          <w:ilvl w:val="0"/>
          <w:numId w:val="8"/>
        </w:numPr>
        <w:spacing w:after="0" w:line="240" w:lineRule="auto"/>
        <w:jc w:val="both"/>
        <w:rPr>
          <w:rFonts w:ascii="Times New Roman" w:hAnsi="Times New Roman" w:cs="Times New Roman"/>
          <w:b/>
          <w:sz w:val="24"/>
          <w:szCs w:val="24"/>
          <w:lang w:val="en-US"/>
        </w:rPr>
      </w:pPr>
      <w:r w:rsidRPr="00A45EC2">
        <w:rPr>
          <w:rFonts w:ascii="Times New Roman" w:hAnsi="Times New Roman" w:cs="Times New Roman"/>
          <w:b/>
          <w:sz w:val="24"/>
          <w:szCs w:val="24"/>
          <w:lang w:val="en-US"/>
        </w:rPr>
        <w:t xml:space="preserve"> Not feeling safe</w:t>
      </w:r>
    </w:p>
    <w:p w14:paraId="1CE18148" w14:textId="05468FD5" w:rsidR="00D50CDD" w:rsidRDefault="00D50CDD" w:rsidP="77007128">
      <w:pPr>
        <w:spacing w:after="0" w:line="240" w:lineRule="auto"/>
        <w:jc w:val="both"/>
        <w:rPr>
          <w:rFonts w:ascii="Times New Roman" w:hAnsi="Times New Roman" w:cs="Times New Roman"/>
          <w:sz w:val="24"/>
          <w:szCs w:val="24"/>
          <w:lang w:val="en-US"/>
        </w:rPr>
      </w:pPr>
      <w:r w:rsidRPr="00DF24C3">
        <w:rPr>
          <w:rFonts w:ascii="Times New Roman" w:hAnsi="Times New Roman" w:cs="Times New Roman"/>
          <w:sz w:val="24"/>
          <w:szCs w:val="24"/>
          <w:lang w:val="en-US"/>
        </w:rPr>
        <w:t xml:space="preserve">70% of the </w:t>
      </w:r>
      <w:r>
        <w:rPr>
          <w:rFonts w:ascii="Times New Roman" w:hAnsi="Times New Roman" w:cs="Times New Roman"/>
          <w:sz w:val="24"/>
          <w:szCs w:val="24"/>
          <w:lang w:val="en-US"/>
        </w:rPr>
        <w:t>children participating in the consultations were concerned about violence when they acted as human rights defenders. Yet legislations and mechanisms for the protection of children that have reported violations of human rights against any reprisals in response to such reporting are scarce, and there is not always a government focal point for child rights to turn to</w:t>
      </w:r>
      <w:r>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w:t>
      </w:r>
      <w:r w:rsidRPr="00DF24C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2018 </w:t>
      </w:r>
      <w:r w:rsidRPr="00DF24C3">
        <w:rPr>
          <w:rFonts w:ascii="Times New Roman" w:hAnsi="Times New Roman" w:cs="Times New Roman"/>
          <w:sz w:val="24"/>
          <w:szCs w:val="24"/>
          <w:lang w:val="en-US"/>
        </w:rPr>
        <w:t xml:space="preserve">DGD also highlighted the absence of safe and child-friendly spaces to receive direct complaints from children, especially within judicial and police bodies. Indeed, the submissions for the background paper </w:t>
      </w:r>
      <w:r>
        <w:rPr>
          <w:rFonts w:ascii="Times New Roman" w:hAnsi="Times New Roman" w:cs="Times New Roman"/>
          <w:sz w:val="24"/>
          <w:szCs w:val="24"/>
          <w:lang w:val="en-US"/>
        </w:rPr>
        <w:t xml:space="preserve">of the DGD </w:t>
      </w:r>
      <w:r w:rsidRPr="00DF24C3">
        <w:rPr>
          <w:rFonts w:ascii="Times New Roman" w:hAnsi="Times New Roman" w:cs="Times New Roman"/>
          <w:sz w:val="24"/>
          <w:szCs w:val="24"/>
          <w:lang w:val="en-US"/>
        </w:rPr>
        <w:t xml:space="preserve">showed that children felt fear of going to police stations </w:t>
      </w:r>
      <w:r w:rsidRPr="00DF24C3">
        <w:rPr>
          <w:rFonts w:ascii="Times New Roman" w:hAnsi="Times New Roman" w:cs="Times New Roman"/>
          <w:sz w:val="24"/>
          <w:szCs w:val="24"/>
          <w:lang w:val="en-US"/>
        </w:rPr>
        <w:lastRenderedPageBreak/>
        <w:t xml:space="preserve">to report cases of mistreatments or violence because they were afraid of not being taken seriously or were too scared of the police. It was also highlighted that in some sub-regional contexts, </w:t>
      </w:r>
      <w:r w:rsidR="3C1A3675" w:rsidRPr="3C1A3675">
        <w:rPr>
          <w:rFonts w:ascii="Times New Roman" w:hAnsi="Times New Roman" w:cs="Times New Roman"/>
          <w:sz w:val="24"/>
          <w:szCs w:val="24"/>
          <w:lang w:val="en-US"/>
        </w:rPr>
        <w:t>children usually do not feel safe to talk in public because cultural practice encourages them to just listen and keep their opinions to themselves</w:t>
      </w:r>
      <w:r w:rsidRPr="3C1A3675">
        <w:rPr>
          <w:rStyle w:val="FootnoteReference"/>
          <w:rFonts w:ascii="Times New Roman" w:hAnsi="Times New Roman" w:cs="Times New Roman"/>
          <w:sz w:val="24"/>
          <w:szCs w:val="24"/>
          <w:lang w:val="en-US"/>
        </w:rPr>
        <w:footnoteReference w:id="10"/>
      </w:r>
      <w:r w:rsidRPr="3C1A3675">
        <w:rPr>
          <w:rFonts w:ascii="Times New Roman" w:hAnsi="Times New Roman" w:cs="Times New Roman"/>
          <w:sz w:val="24"/>
          <w:szCs w:val="24"/>
          <w:lang w:val="en-US"/>
        </w:rPr>
        <w:t xml:space="preserve">. </w:t>
      </w:r>
      <w:r w:rsidR="3C1A3675" w:rsidRPr="3C1A3675">
        <w:rPr>
          <w:rFonts w:ascii="Times New Roman" w:hAnsi="Times New Roman" w:cs="Times New Roman"/>
          <w:sz w:val="24"/>
          <w:szCs w:val="24"/>
          <w:lang w:val="en-US"/>
        </w:rPr>
        <w:t>Existing spaces are not suited for children to report and can be an intimidating and traumatizing experience.</w:t>
      </w:r>
    </w:p>
    <w:p w14:paraId="12296EB7" w14:textId="77777777" w:rsidR="00D50CDD" w:rsidRPr="00DF24C3" w:rsidRDefault="00D50CDD" w:rsidP="00D50CDD">
      <w:pPr>
        <w:spacing w:after="0" w:line="240" w:lineRule="auto"/>
        <w:jc w:val="both"/>
        <w:rPr>
          <w:rFonts w:ascii="Times New Roman" w:hAnsi="Times New Roman" w:cs="Times New Roman"/>
          <w:sz w:val="24"/>
          <w:szCs w:val="24"/>
          <w:lang w:val="en-US"/>
        </w:rPr>
      </w:pPr>
    </w:p>
    <w:p w14:paraId="5A8927DD" w14:textId="77777777" w:rsidR="00D50CDD" w:rsidRDefault="00D50CDD" w:rsidP="00D50CDD">
      <w:pPr>
        <w:pStyle w:val="ListParagraph"/>
        <w:numPr>
          <w:ilvl w:val="0"/>
          <w:numId w:val="8"/>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Not informed</w:t>
      </w:r>
    </w:p>
    <w:p w14:paraId="5ACB2AC4" w14:textId="706BB753" w:rsidR="00D50CDD" w:rsidRDefault="00D50CDD" w:rsidP="7700712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B328E1">
        <w:rPr>
          <w:rFonts w:ascii="Times New Roman" w:hAnsi="Times New Roman" w:cs="Times New Roman"/>
          <w:sz w:val="24"/>
          <w:szCs w:val="24"/>
          <w:lang w:val="en-US"/>
        </w:rPr>
        <w:t xml:space="preserve">hildren’s lack of access </w:t>
      </w:r>
      <w:r>
        <w:rPr>
          <w:rFonts w:ascii="Times New Roman" w:hAnsi="Times New Roman" w:cs="Times New Roman"/>
          <w:sz w:val="24"/>
          <w:szCs w:val="24"/>
          <w:lang w:val="en-US"/>
        </w:rPr>
        <w:t xml:space="preserve">to </w:t>
      </w:r>
      <w:r w:rsidRPr="00B328E1">
        <w:rPr>
          <w:rFonts w:ascii="Times New Roman" w:hAnsi="Times New Roman" w:cs="Times New Roman"/>
          <w:sz w:val="24"/>
          <w:szCs w:val="24"/>
          <w:lang w:val="en-US"/>
        </w:rPr>
        <w:t>information</w:t>
      </w:r>
      <w:r>
        <w:rPr>
          <w:rFonts w:ascii="Times New Roman" w:hAnsi="Times New Roman" w:cs="Times New Roman"/>
          <w:sz w:val="24"/>
          <w:szCs w:val="24"/>
          <w:lang w:val="en-US"/>
        </w:rPr>
        <w:t xml:space="preserve"> and understanding</w:t>
      </w:r>
      <w:r w:rsidRPr="00B328E1">
        <w:rPr>
          <w:rFonts w:ascii="Times New Roman" w:hAnsi="Times New Roman" w:cs="Times New Roman"/>
          <w:sz w:val="24"/>
          <w:szCs w:val="24"/>
          <w:lang w:val="en-US"/>
        </w:rPr>
        <w:t>, including on their own rights</w:t>
      </w:r>
      <w:r>
        <w:rPr>
          <w:rFonts w:ascii="Times New Roman" w:hAnsi="Times New Roman" w:cs="Times New Roman"/>
          <w:sz w:val="24"/>
          <w:szCs w:val="24"/>
          <w:lang w:val="en-US"/>
        </w:rPr>
        <w:t xml:space="preserve">, can be a major challenge for them to identify abuse and know what available options exist to take effective action or to file a complaint. </w:t>
      </w:r>
      <w:r w:rsidRPr="00B328E1">
        <w:rPr>
          <w:rFonts w:ascii="Times New Roman" w:hAnsi="Times New Roman" w:cs="Times New Roman"/>
          <w:sz w:val="24"/>
          <w:szCs w:val="24"/>
          <w:lang w:val="en-US"/>
        </w:rPr>
        <w:t>“</w:t>
      </w:r>
      <w:r>
        <w:rPr>
          <w:rFonts w:ascii="Times New Roman" w:hAnsi="Times New Roman" w:cs="Times New Roman"/>
          <w:sz w:val="24"/>
          <w:szCs w:val="24"/>
          <w:lang w:val="en-US"/>
        </w:rPr>
        <w:t>P</w:t>
      </w:r>
      <w:r w:rsidRPr="00B328E1">
        <w:rPr>
          <w:rFonts w:ascii="Times New Roman" w:hAnsi="Times New Roman" w:cs="Times New Roman"/>
          <w:sz w:val="24"/>
          <w:szCs w:val="24"/>
          <w:lang w:val="en-US"/>
        </w:rPr>
        <w:t>ublic information is often difficult to obtain, inaccurate, out of date, or presented in a way that is difficult for children to understand.”</w:t>
      </w:r>
      <w:r>
        <w:rPr>
          <w:rStyle w:val="FootnoteReference"/>
          <w:rFonts w:ascii="Times New Roman" w:hAnsi="Times New Roman" w:cs="Times New Roman"/>
          <w:sz w:val="24"/>
          <w:szCs w:val="24"/>
          <w:lang w:val="en-US"/>
        </w:rPr>
        <w:footnoteReference w:id="11"/>
      </w:r>
      <w:r w:rsidRPr="00B328E1">
        <w:rPr>
          <w:rFonts w:ascii="Times New Roman" w:hAnsi="Times New Roman" w:cs="Times New Roman"/>
          <w:sz w:val="24"/>
          <w:szCs w:val="24"/>
          <w:lang w:val="en-US"/>
        </w:rPr>
        <w:t xml:space="preserve">Access to information can also </w:t>
      </w:r>
      <w:r>
        <w:rPr>
          <w:rFonts w:ascii="Times New Roman" w:hAnsi="Times New Roman" w:cs="Times New Roman"/>
          <w:sz w:val="24"/>
          <w:szCs w:val="24"/>
          <w:lang w:val="en-US"/>
        </w:rPr>
        <w:t xml:space="preserve">be </w:t>
      </w:r>
      <w:r w:rsidRPr="00B328E1">
        <w:rPr>
          <w:rFonts w:ascii="Times New Roman" w:hAnsi="Times New Roman" w:cs="Times New Roman"/>
          <w:sz w:val="24"/>
          <w:szCs w:val="24"/>
          <w:lang w:val="en-US"/>
        </w:rPr>
        <w:t>particularly challenging for children with disabilities and girls.</w:t>
      </w:r>
    </w:p>
    <w:p w14:paraId="3F34871B" w14:textId="316F173B" w:rsidR="00D50CDD" w:rsidRDefault="00D50CDD" w:rsidP="7700712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consultations children expressed the need for the creation of legislations and programs to teach children in schools about their rights, national laws and international treaties</w:t>
      </w:r>
      <w:r>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Child rights education should also include pointing out the </w:t>
      </w:r>
      <w:r w:rsidRPr="00F440E5">
        <w:rPr>
          <w:rFonts w:ascii="Times New Roman" w:hAnsi="Times New Roman" w:cs="Times New Roman"/>
          <w:sz w:val="24"/>
          <w:szCs w:val="24"/>
          <w:lang w:val="en-US"/>
        </w:rPr>
        <w:t>different channels and mechanisms available to report violations (online or offline) and to participate in decision-making on the matters affecting children.</w:t>
      </w:r>
    </w:p>
    <w:p w14:paraId="5D2FF1D8" w14:textId="77777777" w:rsidR="00D50CDD" w:rsidRDefault="00D50CDD" w:rsidP="00D50CDD">
      <w:pPr>
        <w:spacing w:after="0" w:line="240" w:lineRule="auto"/>
        <w:jc w:val="both"/>
        <w:rPr>
          <w:rFonts w:ascii="Times New Roman" w:hAnsi="Times New Roman" w:cs="Times New Roman"/>
          <w:sz w:val="24"/>
          <w:szCs w:val="24"/>
          <w:lang w:val="en-US"/>
        </w:rPr>
      </w:pPr>
    </w:p>
    <w:p w14:paraId="135DDFE9" w14:textId="77777777" w:rsidR="00D50CDD" w:rsidRDefault="00D50CDD" w:rsidP="00D50CDD">
      <w:pPr>
        <w:pStyle w:val="ListParagraph"/>
        <w:numPr>
          <w:ilvl w:val="0"/>
          <w:numId w:val="8"/>
        </w:numPr>
        <w:spacing w:after="0" w:line="240" w:lineRule="auto"/>
        <w:jc w:val="both"/>
        <w:rPr>
          <w:rFonts w:ascii="Times New Roman" w:hAnsi="Times New Roman" w:cs="Times New Roman"/>
          <w:b/>
          <w:sz w:val="24"/>
          <w:szCs w:val="24"/>
          <w:lang w:val="en-US"/>
        </w:rPr>
      </w:pPr>
      <w:r w:rsidRPr="00B2591F">
        <w:rPr>
          <w:rFonts w:ascii="Times New Roman" w:hAnsi="Times New Roman" w:cs="Times New Roman"/>
          <w:b/>
          <w:sz w:val="24"/>
          <w:szCs w:val="24"/>
          <w:lang w:val="en-US"/>
        </w:rPr>
        <w:t>Not able</w:t>
      </w:r>
    </w:p>
    <w:p w14:paraId="1363AB77" w14:textId="77777777" w:rsidR="00D50CDD" w:rsidRPr="009A4928" w:rsidRDefault="00D50CDD" w:rsidP="00D50CD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40% of children in</w:t>
      </w:r>
      <w:r w:rsidRPr="009A4928">
        <w:rPr>
          <w:rFonts w:ascii="Times New Roman" w:hAnsi="Times New Roman" w:cs="Times New Roman"/>
          <w:sz w:val="24"/>
          <w:szCs w:val="24"/>
          <w:lang w:val="en-US"/>
        </w:rPr>
        <w:t xml:space="preserve"> the consultations</w:t>
      </w:r>
      <w:r>
        <w:rPr>
          <w:rFonts w:ascii="Times New Roman" w:hAnsi="Times New Roman" w:cs="Times New Roman"/>
          <w:sz w:val="24"/>
          <w:szCs w:val="24"/>
          <w:lang w:val="en-US"/>
        </w:rPr>
        <w:t xml:space="preserve"> agreed that lack of information on their rights was a main barrier for children human rights defenders, many also indicated that even with the proper information, the lack of resources (time, money, lack of ability to travel) and support hampers their ability to take appropriate actions</w:t>
      </w:r>
      <w:r>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 It is also hard for children to access international mechanisms and inter-governmental bodies without proper support.</w:t>
      </w:r>
    </w:p>
    <w:p w14:paraId="00108D64" w14:textId="77777777" w:rsidR="006E130D" w:rsidRPr="001C1E9F" w:rsidRDefault="006E130D" w:rsidP="006E130D">
      <w:pPr>
        <w:spacing w:after="0" w:line="240" w:lineRule="auto"/>
        <w:jc w:val="both"/>
        <w:rPr>
          <w:rFonts w:ascii="Times New Roman" w:hAnsi="Times New Roman" w:cs="Times New Roman"/>
          <w:sz w:val="24"/>
          <w:szCs w:val="24"/>
          <w:u w:val="single"/>
          <w:lang w:val="en-US"/>
        </w:rPr>
      </w:pPr>
    </w:p>
    <w:p w14:paraId="6EFAF0B9" w14:textId="756BFAA1" w:rsidR="000D59C6" w:rsidRPr="001C1E9F" w:rsidRDefault="000D59C6" w:rsidP="00600C88">
      <w:pPr>
        <w:spacing w:after="0" w:line="240" w:lineRule="auto"/>
        <w:jc w:val="both"/>
        <w:rPr>
          <w:rFonts w:ascii="Times New Roman" w:hAnsi="Times New Roman" w:cs="Times New Roman"/>
          <w:sz w:val="24"/>
          <w:szCs w:val="24"/>
          <w:u w:val="single"/>
          <w:lang w:val="en-US"/>
        </w:rPr>
      </w:pPr>
      <w:r w:rsidRPr="001C1E9F">
        <w:rPr>
          <w:rFonts w:ascii="Times New Roman" w:hAnsi="Times New Roman" w:cs="Times New Roman"/>
          <w:sz w:val="24"/>
          <w:szCs w:val="24"/>
          <w:u w:val="single"/>
          <w:lang w:val="en-US"/>
        </w:rPr>
        <w:t>Recommendations</w:t>
      </w:r>
    </w:p>
    <w:p w14:paraId="4A7AFB15" w14:textId="77777777" w:rsidR="006E7335" w:rsidRPr="001C1E9F" w:rsidRDefault="006E7335" w:rsidP="00600C88">
      <w:pPr>
        <w:spacing w:after="0" w:line="240" w:lineRule="auto"/>
        <w:jc w:val="both"/>
        <w:rPr>
          <w:rFonts w:ascii="Times New Roman" w:hAnsi="Times New Roman" w:cs="Times New Roman"/>
          <w:sz w:val="24"/>
          <w:szCs w:val="24"/>
          <w:u w:val="single"/>
          <w:lang w:val="en-US"/>
        </w:rPr>
      </w:pPr>
    </w:p>
    <w:p w14:paraId="458D22F8" w14:textId="6D4A6D3C" w:rsidR="00FC095F" w:rsidRPr="00D50CDD" w:rsidRDefault="00131FF5" w:rsidP="00600C88">
      <w:pPr>
        <w:pStyle w:val="ListParagraph"/>
        <w:numPr>
          <w:ilvl w:val="0"/>
          <w:numId w:val="7"/>
        </w:numPr>
        <w:spacing w:after="0" w:line="240" w:lineRule="auto"/>
        <w:jc w:val="both"/>
        <w:rPr>
          <w:rFonts w:ascii="Times New Roman" w:hAnsi="Times New Roman" w:cs="Times New Roman"/>
          <w:sz w:val="24"/>
          <w:szCs w:val="24"/>
          <w:lang w:val="en-US"/>
        </w:rPr>
      </w:pPr>
      <w:r w:rsidRPr="00D50CDD">
        <w:rPr>
          <w:rFonts w:ascii="Times New Roman" w:hAnsi="Times New Roman" w:cs="Times New Roman"/>
          <w:b/>
          <w:sz w:val="24"/>
          <w:szCs w:val="24"/>
          <w:lang w:val="en-US"/>
        </w:rPr>
        <w:t xml:space="preserve">Comprehensive protection policy </w:t>
      </w:r>
      <w:r w:rsidR="0094296E" w:rsidRPr="00D50CDD">
        <w:rPr>
          <w:rFonts w:ascii="Times New Roman" w:hAnsi="Times New Roman" w:cs="Times New Roman"/>
          <w:b/>
          <w:sz w:val="24"/>
          <w:szCs w:val="24"/>
          <w:lang w:val="en-US"/>
        </w:rPr>
        <w:t>for</w:t>
      </w:r>
      <w:r w:rsidRPr="00D50CDD">
        <w:rPr>
          <w:rFonts w:ascii="Times New Roman" w:hAnsi="Times New Roman" w:cs="Times New Roman"/>
          <w:b/>
          <w:sz w:val="24"/>
          <w:szCs w:val="24"/>
          <w:lang w:val="en-US"/>
        </w:rPr>
        <w:t xml:space="preserve"> human rights defenders </w:t>
      </w:r>
      <w:r w:rsidR="0094296E" w:rsidRPr="00D50CDD">
        <w:rPr>
          <w:rFonts w:ascii="Times New Roman" w:hAnsi="Times New Roman" w:cs="Times New Roman"/>
          <w:b/>
          <w:sz w:val="24"/>
          <w:szCs w:val="24"/>
          <w:lang w:val="en-US"/>
        </w:rPr>
        <w:t>with a differentiated approach for children</w:t>
      </w:r>
      <w:r w:rsidR="0094296E" w:rsidRPr="00D50CDD">
        <w:rPr>
          <w:rFonts w:ascii="Times New Roman" w:hAnsi="Times New Roman" w:cs="Times New Roman"/>
          <w:sz w:val="24"/>
          <w:szCs w:val="24"/>
          <w:lang w:val="en-US"/>
        </w:rPr>
        <w:t xml:space="preserve"> –</w:t>
      </w:r>
      <w:r w:rsidRPr="00D50CDD">
        <w:rPr>
          <w:rFonts w:ascii="Times New Roman" w:hAnsi="Times New Roman" w:cs="Times New Roman"/>
          <w:sz w:val="24"/>
          <w:szCs w:val="24"/>
          <w:lang w:val="en-US"/>
        </w:rPr>
        <w:t xml:space="preserve"> </w:t>
      </w:r>
      <w:r w:rsidR="006E7335" w:rsidRPr="00D50CDD">
        <w:rPr>
          <w:rFonts w:ascii="Times New Roman" w:hAnsi="Times New Roman" w:cs="Times New Roman"/>
          <w:sz w:val="24"/>
          <w:szCs w:val="24"/>
          <w:lang w:val="en-US"/>
        </w:rPr>
        <w:t>States should d</w:t>
      </w:r>
      <w:r w:rsidR="0094296E" w:rsidRPr="00D50CDD">
        <w:rPr>
          <w:rFonts w:ascii="Times New Roman" w:hAnsi="Times New Roman" w:cs="Times New Roman"/>
          <w:sz w:val="24"/>
          <w:szCs w:val="24"/>
          <w:lang w:val="en-US"/>
        </w:rPr>
        <w:t xml:space="preserve">evelop </w:t>
      </w:r>
      <w:r w:rsidR="00FC095F" w:rsidRPr="00D50CDD">
        <w:rPr>
          <w:rFonts w:ascii="Times New Roman" w:hAnsi="Times New Roman" w:cs="Times New Roman"/>
          <w:sz w:val="24"/>
          <w:szCs w:val="24"/>
          <w:lang w:val="en-US"/>
        </w:rPr>
        <w:t xml:space="preserve">a </w:t>
      </w:r>
      <w:bookmarkStart w:id="2" w:name="_Hlk6316397"/>
      <w:r w:rsidR="00FC095F" w:rsidRPr="00D50CDD">
        <w:rPr>
          <w:rFonts w:ascii="Times New Roman" w:hAnsi="Times New Roman" w:cs="Times New Roman"/>
          <w:sz w:val="24"/>
          <w:szCs w:val="24"/>
          <w:lang w:val="en-US"/>
        </w:rPr>
        <w:t>comprehensive protection policy for human rights defenders</w:t>
      </w:r>
      <w:bookmarkEnd w:id="2"/>
      <w:r w:rsidR="00FC095F" w:rsidRPr="00D50CDD">
        <w:rPr>
          <w:rFonts w:ascii="Times New Roman" w:hAnsi="Times New Roman" w:cs="Times New Roman"/>
          <w:sz w:val="24"/>
          <w:szCs w:val="24"/>
          <w:lang w:val="en-US"/>
        </w:rPr>
        <w:t xml:space="preserve"> that takes into account children human rights defenders, their challenges and needs in terms of combating impunity;</w:t>
      </w:r>
      <w:r w:rsidRPr="00D50CDD">
        <w:rPr>
          <w:rFonts w:ascii="Times New Roman" w:hAnsi="Times New Roman" w:cs="Times New Roman"/>
          <w:sz w:val="24"/>
          <w:szCs w:val="24"/>
          <w:lang w:val="en-US"/>
        </w:rPr>
        <w:t xml:space="preserve"> It will be important to consult children when designing and developing this policy.</w:t>
      </w:r>
    </w:p>
    <w:p w14:paraId="408E212F" w14:textId="7124B87C" w:rsidR="008D5968" w:rsidRPr="00D50CDD" w:rsidRDefault="77007128" w:rsidP="77007128">
      <w:pPr>
        <w:pStyle w:val="ListParagraph"/>
        <w:numPr>
          <w:ilvl w:val="0"/>
          <w:numId w:val="7"/>
        </w:numPr>
        <w:spacing w:after="0" w:line="240" w:lineRule="auto"/>
        <w:jc w:val="both"/>
        <w:rPr>
          <w:b/>
          <w:bCs/>
          <w:sz w:val="24"/>
          <w:szCs w:val="24"/>
          <w:lang w:val="en-US"/>
        </w:rPr>
      </w:pPr>
      <w:r w:rsidRPr="77007128">
        <w:rPr>
          <w:rFonts w:ascii="Times New Roman" w:hAnsi="Times New Roman" w:cs="Times New Roman"/>
          <w:b/>
          <w:bCs/>
          <w:sz w:val="24"/>
          <w:szCs w:val="24"/>
          <w:lang w:val="en-US"/>
        </w:rPr>
        <w:t>Child rights education</w:t>
      </w:r>
      <w:r w:rsidRPr="77007128">
        <w:rPr>
          <w:rFonts w:ascii="Times New Roman" w:hAnsi="Times New Roman" w:cs="Times New Roman"/>
          <w:sz w:val="24"/>
          <w:szCs w:val="24"/>
          <w:lang w:val="en-US"/>
        </w:rPr>
        <w:t xml:space="preserve"> States and, in particular, national human rights institutions and children ombudsmen, should ensure that children acting has human rights defenders are empowered to understand their rights and which mechanisms they can use to make a complaint when their human rights are violated; States should train and educate children and adolescents in human rights, in order to provide the knowledge, skills and attitudes required by this new role of defenders. Similarly, States should ensure child rights education and information on child rights reaches especially children who have additional difficulties in access, such as girls and children in vulnerable settings, including from precarious socio-economic backgrounds, and be elaborated in accessible formats for children with disabilities. </w:t>
      </w:r>
    </w:p>
    <w:p w14:paraId="20436246" w14:textId="151043BC" w:rsidR="0B04AE21" w:rsidRDefault="77007128" w:rsidP="0B04AE21">
      <w:pPr>
        <w:pStyle w:val="ListParagraph"/>
        <w:numPr>
          <w:ilvl w:val="0"/>
          <w:numId w:val="7"/>
        </w:numPr>
        <w:spacing w:after="0" w:line="240" w:lineRule="auto"/>
        <w:jc w:val="both"/>
        <w:rPr>
          <w:b/>
          <w:bCs/>
          <w:sz w:val="24"/>
          <w:szCs w:val="24"/>
          <w:lang w:val="en-US"/>
        </w:rPr>
      </w:pPr>
      <w:r w:rsidRPr="77007128">
        <w:rPr>
          <w:rFonts w:ascii="Times New Roman" w:eastAsia="Times New Roman" w:hAnsi="Times New Roman" w:cs="Times New Roman"/>
          <w:b/>
          <w:bCs/>
          <w:sz w:val="24"/>
          <w:szCs w:val="24"/>
          <w:lang w:val="en-US"/>
        </w:rPr>
        <w:t xml:space="preserve">Increase efforts to create spaces for child and adolescent participation, </w:t>
      </w:r>
      <w:r w:rsidRPr="77007128">
        <w:rPr>
          <w:rFonts w:ascii="Times New Roman" w:eastAsia="Times New Roman" w:hAnsi="Times New Roman" w:cs="Times New Roman"/>
          <w:sz w:val="24"/>
          <w:szCs w:val="24"/>
          <w:lang w:val="en-US"/>
        </w:rPr>
        <w:t>such as: advisory councils, organized groups and / or networks of children and adolescents, so that they can exercise and defend human rights.</w:t>
      </w:r>
    </w:p>
    <w:p w14:paraId="57BDCA74" w14:textId="7D60039E" w:rsidR="000E181C" w:rsidRPr="00D50CDD" w:rsidRDefault="77007128" w:rsidP="77007128">
      <w:pPr>
        <w:pStyle w:val="ListParagraph"/>
        <w:numPr>
          <w:ilvl w:val="0"/>
          <w:numId w:val="7"/>
        </w:numPr>
        <w:spacing w:after="0" w:line="240" w:lineRule="auto"/>
        <w:jc w:val="both"/>
        <w:rPr>
          <w:b/>
          <w:bCs/>
          <w:sz w:val="24"/>
          <w:szCs w:val="24"/>
          <w:lang w:val="en-US"/>
        </w:rPr>
      </w:pPr>
      <w:r w:rsidRPr="77007128">
        <w:rPr>
          <w:rFonts w:ascii="Times New Roman" w:hAnsi="Times New Roman" w:cs="Times New Roman"/>
          <w:b/>
          <w:bCs/>
          <w:sz w:val="24"/>
          <w:szCs w:val="24"/>
          <w:lang w:val="en-US"/>
        </w:rPr>
        <w:lastRenderedPageBreak/>
        <w:t>Access to child-friendly information</w:t>
      </w:r>
      <w:r w:rsidRPr="77007128">
        <w:rPr>
          <w:rFonts w:ascii="Times New Roman" w:hAnsi="Times New Roman" w:cs="Times New Roman"/>
          <w:sz w:val="24"/>
          <w:szCs w:val="24"/>
          <w:lang w:val="en-US"/>
        </w:rPr>
        <w:t xml:space="preserve">– States and, in particular, national human rights institutions and children ombudsmen, should provide children with access to information on the different channels and mechanisms available to report violations (online or offline) and to participate in decision-making on the matters affecting them. </w:t>
      </w:r>
      <w:bookmarkStart w:id="3" w:name="_Hlk6388212"/>
    </w:p>
    <w:bookmarkEnd w:id="3"/>
    <w:p w14:paraId="4F58F5E9" w14:textId="537DDB3A" w:rsidR="77007128" w:rsidRDefault="77007128" w:rsidP="77007128">
      <w:pPr>
        <w:pStyle w:val="ListParagraph"/>
        <w:numPr>
          <w:ilvl w:val="0"/>
          <w:numId w:val="7"/>
        </w:numPr>
        <w:spacing w:after="0" w:line="240" w:lineRule="auto"/>
        <w:jc w:val="both"/>
        <w:rPr>
          <w:b/>
          <w:bCs/>
          <w:sz w:val="24"/>
          <w:szCs w:val="24"/>
          <w:lang w:val="en-US"/>
        </w:rPr>
      </w:pPr>
      <w:r w:rsidRPr="77007128">
        <w:rPr>
          <w:rFonts w:ascii="Times New Roman" w:hAnsi="Times New Roman" w:cs="Times New Roman"/>
          <w:b/>
          <w:bCs/>
          <w:sz w:val="24"/>
          <w:szCs w:val="24"/>
          <w:lang w:val="en-US"/>
        </w:rPr>
        <w:t>Safe and child friendly spaces and mechanisms to receive direct complaints from children</w:t>
      </w:r>
      <w:r w:rsidRPr="77007128">
        <w:rPr>
          <w:rFonts w:ascii="Times New Roman" w:hAnsi="Times New Roman" w:cs="Times New Roman"/>
          <w:sz w:val="24"/>
          <w:szCs w:val="24"/>
          <w:lang w:val="en-US"/>
        </w:rPr>
        <w:t xml:space="preserve"> - Put in place safe and child friendly spaces to receive direct complaints from children -including hotlines- especially within the judicial and police bodies, and widely disseminate information on their functioning and how to access them in a language that is accessible for children and easy to understand.</w:t>
      </w:r>
    </w:p>
    <w:p w14:paraId="5E0B3BE3" w14:textId="5AF5965F" w:rsidR="77007128" w:rsidRDefault="77007128" w:rsidP="77007128">
      <w:pPr>
        <w:pStyle w:val="ListParagraph"/>
        <w:numPr>
          <w:ilvl w:val="0"/>
          <w:numId w:val="7"/>
        </w:numPr>
        <w:spacing w:after="0" w:line="240" w:lineRule="auto"/>
        <w:jc w:val="both"/>
        <w:rPr>
          <w:b/>
          <w:bCs/>
          <w:sz w:val="24"/>
          <w:szCs w:val="24"/>
          <w:lang w:val="en-US"/>
        </w:rPr>
      </w:pPr>
      <w:r w:rsidRPr="77007128">
        <w:rPr>
          <w:rFonts w:ascii="Times New Roman" w:hAnsi="Times New Roman" w:cs="Times New Roman"/>
          <w:b/>
          <w:bCs/>
          <w:sz w:val="24"/>
          <w:szCs w:val="24"/>
          <w:lang w:val="en-US"/>
        </w:rPr>
        <w:t>Support of National human rights institutions and children ombudsmen -</w:t>
      </w:r>
      <w:r w:rsidRPr="77007128">
        <w:rPr>
          <w:rFonts w:ascii="Times New Roman" w:hAnsi="Times New Roman" w:cs="Times New Roman"/>
          <w:sz w:val="24"/>
          <w:szCs w:val="24"/>
          <w:lang w:val="en-US"/>
        </w:rPr>
        <w:t xml:space="preserve"> National human rights institutions and children ombudsmen should support children human rights defenders by working more closely with them, disseminating information about their mandate and helping children report and seek redress for human rights violations. </w:t>
      </w:r>
    </w:p>
    <w:p w14:paraId="79782D9F" w14:textId="0D681E37" w:rsidR="3C1A3675" w:rsidRDefault="77007128" w:rsidP="77007128">
      <w:pPr>
        <w:pStyle w:val="ListParagraph"/>
        <w:numPr>
          <w:ilvl w:val="0"/>
          <w:numId w:val="7"/>
        </w:numPr>
        <w:spacing w:after="0" w:line="240" w:lineRule="auto"/>
        <w:jc w:val="both"/>
        <w:rPr>
          <w:b/>
          <w:bCs/>
          <w:sz w:val="24"/>
          <w:szCs w:val="24"/>
          <w:lang w:val="en-US"/>
        </w:rPr>
      </w:pPr>
      <w:r w:rsidRPr="77007128">
        <w:rPr>
          <w:rFonts w:ascii="Times New Roman" w:hAnsi="Times New Roman" w:cs="Times New Roman"/>
          <w:b/>
          <w:bCs/>
          <w:sz w:val="24"/>
          <w:szCs w:val="24"/>
          <w:lang w:val="en-US"/>
        </w:rPr>
        <w:t>Training of local authorities and all professionals working for and with children</w:t>
      </w:r>
      <w:r w:rsidRPr="77007128">
        <w:rPr>
          <w:rFonts w:ascii="Times New Roman" w:hAnsi="Times New Roman" w:cs="Times New Roman"/>
          <w:sz w:val="24"/>
          <w:szCs w:val="24"/>
          <w:lang w:val="en-US"/>
        </w:rPr>
        <w:t xml:space="preserve"> - Governments should put in place trainings of local authorities, especially the police forces, on how to ensure that children can have a safe space, be listened to and taken seriously when reporting a violation. These knowledge and skills must also be acquired by parents, social workers, counselors, lawyers, teachers, legislators, and all other professionals working for and with children.</w:t>
      </w:r>
    </w:p>
    <w:p w14:paraId="3E8B2964" w14:textId="20EB68F4" w:rsidR="0B04AE21" w:rsidRDefault="77007128" w:rsidP="77007128">
      <w:pPr>
        <w:pStyle w:val="ListParagraph"/>
        <w:numPr>
          <w:ilvl w:val="0"/>
          <w:numId w:val="7"/>
        </w:numPr>
        <w:spacing w:after="0" w:line="240" w:lineRule="auto"/>
        <w:jc w:val="both"/>
        <w:rPr>
          <w:b/>
          <w:bCs/>
          <w:sz w:val="24"/>
          <w:szCs w:val="24"/>
          <w:lang w:val="en-US"/>
        </w:rPr>
      </w:pPr>
      <w:r w:rsidRPr="77007128">
        <w:rPr>
          <w:rFonts w:ascii="Times New Roman" w:hAnsi="Times New Roman" w:cs="Times New Roman"/>
          <w:b/>
          <w:bCs/>
          <w:sz w:val="24"/>
          <w:szCs w:val="24"/>
          <w:lang w:val="en-US"/>
        </w:rPr>
        <w:t xml:space="preserve">Mainstreaming a positive image of children human rights defenders </w:t>
      </w:r>
      <w:r w:rsidRPr="77007128">
        <w:rPr>
          <w:rFonts w:ascii="Times New Roman" w:hAnsi="Times New Roman" w:cs="Times New Roman"/>
          <w:sz w:val="24"/>
          <w:szCs w:val="24"/>
          <w:lang w:val="en-US"/>
        </w:rPr>
        <w:t>– States must address the negative image and attitudes towards children human rights defenders so that children human rights defenders are not stigmatized by adults and their negative image are taken into account when they report violations. Adults must recognize that human rights work can take many forms, especially with the creativity and imagination of children.</w:t>
      </w:r>
    </w:p>
    <w:p w14:paraId="65C0FAEE" w14:textId="7B184651" w:rsidR="77007128" w:rsidRDefault="77007128" w:rsidP="77007128">
      <w:pPr>
        <w:pStyle w:val="ListParagraph"/>
        <w:numPr>
          <w:ilvl w:val="0"/>
          <w:numId w:val="7"/>
        </w:numPr>
        <w:spacing w:after="0" w:line="240" w:lineRule="auto"/>
        <w:jc w:val="both"/>
        <w:rPr>
          <w:b/>
          <w:bCs/>
          <w:sz w:val="24"/>
          <w:szCs w:val="24"/>
          <w:lang w:val="en-US"/>
        </w:rPr>
      </w:pPr>
      <w:r w:rsidRPr="77007128">
        <w:rPr>
          <w:rFonts w:ascii="Times New Roman" w:hAnsi="Times New Roman" w:cs="Times New Roman"/>
          <w:b/>
          <w:bCs/>
          <w:sz w:val="24"/>
          <w:szCs w:val="24"/>
          <w:lang w:val="en-US"/>
        </w:rPr>
        <w:t>(Increased) access to international mechanisms</w:t>
      </w:r>
      <w:r w:rsidRPr="77007128">
        <w:rPr>
          <w:rFonts w:ascii="Times New Roman" w:hAnsi="Times New Roman" w:cs="Times New Roman"/>
          <w:sz w:val="24"/>
          <w:szCs w:val="24"/>
          <w:lang w:val="en-US"/>
        </w:rPr>
        <w:t xml:space="preserve"> – International mechanisms and inter-governmental bodies should put in place child-friendly platforms -in person or remotely through virtual engagement- to help children, especially those from marginalized groups, denounce human rights violations.  The platforms should be accessible and inclusive to all children. National human rights institutions and children ombudsmen should help in the dissemination of these platforms.</w:t>
      </w:r>
    </w:p>
    <w:p w14:paraId="6D9B09C7" w14:textId="772DAA11" w:rsidR="008D5968" w:rsidRPr="00D50CDD" w:rsidRDefault="77007128" w:rsidP="77007128">
      <w:pPr>
        <w:pStyle w:val="ListParagraph"/>
        <w:numPr>
          <w:ilvl w:val="0"/>
          <w:numId w:val="7"/>
        </w:numPr>
        <w:spacing w:after="0" w:line="240" w:lineRule="auto"/>
        <w:jc w:val="both"/>
        <w:rPr>
          <w:rFonts w:ascii="Times New Roman" w:hAnsi="Times New Roman" w:cs="Times New Roman"/>
          <w:sz w:val="24"/>
          <w:szCs w:val="24"/>
          <w:lang w:val="en-US"/>
        </w:rPr>
      </w:pPr>
      <w:r w:rsidRPr="77007128">
        <w:rPr>
          <w:rFonts w:ascii="Times New Roman" w:hAnsi="Times New Roman" w:cs="Times New Roman"/>
          <w:b/>
          <w:bCs/>
          <w:sz w:val="24"/>
          <w:szCs w:val="24"/>
          <w:lang w:val="en-US"/>
        </w:rPr>
        <w:t>Protection against reprisals</w:t>
      </w:r>
      <w:r w:rsidRPr="77007128">
        <w:rPr>
          <w:rFonts w:ascii="Times New Roman" w:hAnsi="Times New Roman" w:cs="Times New Roman"/>
          <w:sz w:val="24"/>
          <w:szCs w:val="24"/>
          <w:lang w:val="en-US"/>
        </w:rPr>
        <w:t xml:space="preserve"> – States should put in place legislation and mechanism protecting children that have reported violations of human rights against any reprisals that may occur in response to their reporting. </w:t>
      </w:r>
    </w:p>
    <w:p w14:paraId="796D53C2" w14:textId="66057020" w:rsidR="4F1EE4F8" w:rsidRDefault="78C5B955" w:rsidP="78C5B955">
      <w:pPr>
        <w:pStyle w:val="ListParagraph"/>
        <w:numPr>
          <w:ilvl w:val="0"/>
          <w:numId w:val="7"/>
        </w:numPr>
        <w:spacing w:after="0" w:line="240" w:lineRule="auto"/>
        <w:jc w:val="both"/>
        <w:rPr>
          <w:b/>
          <w:bCs/>
          <w:sz w:val="24"/>
          <w:szCs w:val="24"/>
          <w:lang w:val="en-US"/>
        </w:rPr>
      </w:pPr>
      <w:r w:rsidRPr="78C5B955">
        <w:rPr>
          <w:rFonts w:ascii="Times New Roman" w:hAnsi="Times New Roman" w:cs="Times New Roman"/>
          <w:b/>
          <w:bCs/>
          <w:sz w:val="24"/>
          <w:szCs w:val="24"/>
          <w:lang w:val="en-US"/>
        </w:rPr>
        <w:t xml:space="preserve">Focal point for children’s rights </w:t>
      </w:r>
      <w:r w:rsidRPr="78C5B955">
        <w:rPr>
          <w:rFonts w:ascii="Times New Roman" w:hAnsi="Times New Roman" w:cs="Times New Roman"/>
          <w:sz w:val="24"/>
          <w:szCs w:val="24"/>
          <w:lang w:val="en-US"/>
        </w:rPr>
        <w:t xml:space="preserve">– Governments should have a clear focal point or coordination body on child rights and provide it with a clear mandate, sufficient authority and the necessary human, technical and financial resources to effectively coordinate action for children’s rights across different sectors at all levels, including the protection of children human rights defenders. </w:t>
      </w:r>
    </w:p>
    <w:p w14:paraId="67138CA2" w14:textId="23E4594E" w:rsidR="00CA37D4" w:rsidRPr="00E37512" w:rsidRDefault="00CA37D4" w:rsidP="4FC0C67B">
      <w:pPr>
        <w:spacing w:after="0" w:line="240" w:lineRule="auto"/>
        <w:ind w:left="360"/>
        <w:jc w:val="both"/>
        <w:rPr>
          <w:rFonts w:ascii="Times New Roman" w:hAnsi="Times New Roman" w:cs="Times New Roman"/>
          <w:sz w:val="24"/>
          <w:szCs w:val="24"/>
          <w:lang w:val="en-US"/>
        </w:rPr>
      </w:pPr>
    </w:p>
    <w:p w14:paraId="0B5D8CEB" w14:textId="463ACB2E" w:rsidR="4FC0C67B" w:rsidRDefault="4FC0C67B" w:rsidP="78C5B955">
      <w:pPr>
        <w:spacing w:after="0" w:line="240" w:lineRule="auto"/>
        <w:jc w:val="both"/>
        <w:rPr>
          <w:rFonts w:ascii="Times New Roman" w:hAnsi="Times New Roman" w:cs="Times New Roman"/>
          <w:sz w:val="24"/>
          <w:szCs w:val="24"/>
          <w:lang w:val="en-US"/>
        </w:rPr>
      </w:pPr>
    </w:p>
    <w:p w14:paraId="0A1496BA" w14:textId="43B7932F" w:rsidR="4FC0C67B" w:rsidRDefault="4FC0C67B" w:rsidP="4FC0C67B">
      <w:pPr>
        <w:spacing w:after="0" w:line="240" w:lineRule="auto"/>
        <w:jc w:val="both"/>
        <w:rPr>
          <w:rFonts w:ascii="Times New Roman" w:eastAsia="Times New Roman" w:hAnsi="Times New Roman" w:cs="Times New Roman"/>
          <w:sz w:val="24"/>
          <w:szCs w:val="24"/>
          <w:lang w:val="en-US"/>
        </w:rPr>
      </w:pPr>
    </w:p>
    <w:p w14:paraId="37ACF498" w14:textId="475095FD" w:rsidR="4FC0C67B" w:rsidRDefault="4FC0C67B" w:rsidP="4FC0C67B">
      <w:pPr>
        <w:spacing w:after="0" w:line="240" w:lineRule="auto"/>
        <w:jc w:val="both"/>
        <w:rPr>
          <w:rFonts w:ascii="Times New Roman" w:eastAsia="Times New Roman" w:hAnsi="Times New Roman" w:cs="Times New Roman"/>
          <w:sz w:val="24"/>
          <w:szCs w:val="24"/>
          <w:lang w:val="en-US"/>
        </w:rPr>
      </w:pPr>
    </w:p>
    <w:p w14:paraId="0D9DA717" w14:textId="77777777" w:rsidR="00CA37D4" w:rsidRDefault="00CA37D4" w:rsidP="00600C88">
      <w:pPr>
        <w:spacing w:after="0" w:line="240" w:lineRule="auto"/>
        <w:jc w:val="both"/>
        <w:rPr>
          <w:rFonts w:ascii="Arial" w:eastAsia="Times New Roman" w:hAnsi="Arial" w:cs="Arial"/>
          <w:sz w:val="24"/>
          <w:szCs w:val="24"/>
          <w:lang w:val="en-US"/>
        </w:rPr>
      </w:pPr>
    </w:p>
    <w:p w14:paraId="5FB00903" w14:textId="7F56A94E" w:rsidR="00097568" w:rsidRDefault="00097568" w:rsidP="006A606D">
      <w:pPr>
        <w:spacing w:after="0" w:line="240" w:lineRule="auto"/>
        <w:ind w:left="540"/>
        <w:rPr>
          <w:rFonts w:ascii="Arial" w:eastAsia="Times New Roman" w:hAnsi="Arial" w:cs="Arial"/>
          <w:sz w:val="24"/>
          <w:szCs w:val="24"/>
          <w:lang w:val="en-US"/>
        </w:rPr>
      </w:pPr>
    </w:p>
    <w:p w14:paraId="0C23411E" w14:textId="22BACE19" w:rsidR="4FC0C67B" w:rsidRDefault="4FC0C67B" w:rsidP="4FC0C67B">
      <w:r>
        <w:t xml:space="preserve">    </w:t>
      </w:r>
    </w:p>
    <w:sectPr w:rsidR="4FC0C67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0BF33" w14:textId="77777777" w:rsidR="006E66CB" w:rsidRDefault="006E66CB" w:rsidP="006E66CB">
      <w:pPr>
        <w:spacing w:after="0" w:line="240" w:lineRule="auto"/>
      </w:pPr>
      <w:r>
        <w:separator/>
      </w:r>
    </w:p>
  </w:endnote>
  <w:endnote w:type="continuationSeparator" w:id="0">
    <w:p w14:paraId="2F0CB386" w14:textId="77777777" w:rsidR="006E66CB" w:rsidRDefault="006E66CB" w:rsidP="006E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508761"/>
      <w:docPartObj>
        <w:docPartGallery w:val="Page Numbers (Bottom of Page)"/>
        <w:docPartUnique/>
      </w:docPartObj>
    </w:sdtPr>
    <w:sdtEndPr>
      <w:rPr>
        <w:noProof/>
      </w:rPr>
    </w:sdtEndPr>
    <w:sdtContent>
      <w:p w14:paraId="0001DD41" w14:textId="0B69185C" w:rsidR="0067545C" w:rsidRDefault="006754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B97F1" w14:textId="77777777" w:rsidR="0067545C" w:rsidRDefault="0067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8EA49" w14:textId="77777777" w:rsidR="006E66CB" w:rsidRDefault="006E66CB" w:rsidP="006E66CB">
      <w:pPr>
        <w:spacing w:after="0" w:line="240" w:lineRule="auto"/>
      </w:pPr>
      <w:r>
        <w:separator/>
      </w:r>
    </w:p>
  </w:footnote>
  <w:footnote w:type="continuationSeparator" w:id="0">
    <w:p w14:paraId="6C6F3DD6" w14:textId="77777777" w:rsidR="006E66CB" w:rsidRDefault="006E66CB" w:rsidP="006E66CB">
      <w:pPr>
        <w:spacing w:after="0" w:line="240" w:lineRule="auto"/>
      </w:pPr>
      <w:r>
        <w:continuationSeparator/>
      </w:r>
    </w:p>
  </w:footnote>
  <w:footnote w:id="1">
    <w:p w14:paraId="75A1F987" w14:textId="77777777" w:rsidR="00044CF4" w:rsidRPr="00372C88" w:rsidRDefault="00044CF4" w:rsidP="00044CF4">
      <w:pPr>
        <w:pStyle w:val="FootnoteText"/>
        <w:jc w:val="both"/>
        <w:rPr>
          <w:rFonts w:ascii="Times New Roman" w:hAnsi="Times New Roman" w:cs="Times New Roman"/>
          <w:sz w:val="18"/>
          <w:szCs w:val="18"/>
          <w:lang w:val="en-US"/>
        </w:rPr>
      </w:pPr>
      <w:r w:rsidRPr="00372C88">
        <w:rPr>
          <w:rStyle w:val="FootnoteReference"/>
          <w:rFonts w:ascii="Times New Roman" w:hAnsi="Times New Roman" w:cs="Times New Roman"/>
          <w:sz w:val="18"/>
          <w:szCs w:val="18"/>
        </w:rPr>
        <w:footnoteRef/>
      </w:r>
      <w:r w:rsidRPr="00372C88">
        <w:rPr>
          <w:rFonts w:ascii="Times New Roman" w:hAnsi="Times New Roman" w:cs="Times New Roman"/>
          <w:sz w:val="18"/>
          <w:szCs w:val="18"/>
          <w:lang w:val="en-US"/>
        </w:rPr>
        <w:t xml:space="preserve"> Inter-American Commission on Human Rights, Report “Towards a comprehensive policy of protection of human rights defenders” (2017), paragraph 8. </w:t>
      </w:r>
    </w:p>
  </w:footnote>
  <w:footnote w:id="2">
    <w:p w14:paraId="61EEACF2" w14:textId="77777777" w:rsidR="00044CF4" w:rsidRPr="00372C88" w:rsidRDefault="00044CF4" w:rsidP="00044CF4">
      <w:pPr>
        <w:pStyle w:val="FootnoteText"/>
        <w:rPr>
          <w:rFonts w:ascii="Times New Roman" w:hAnsi="Times New Roman" w:cs="Times New Roman"/>
          <w:sz w:val="18"/>
          <w:szCs w:val="18"/>
          <w:lang w:val="en-US"/>
        </w:rPr>
      </w:pPr>
      <w:r w:rsidRPr="00372C88">
        <w:rPr>
          <w:rStyle w:val="FootnoteReference"/>
          <w:rFonts w:ascii="Times New Roman" w:hAnsi="Times New Roman" w:cs="Times New Roman"/>
          <w:sz w:val="18"/>
          <w:szCs w:val="18"/>
        </w:rPr>
        <w:footnoteRef/>
      </w:r>
      <w:r w:rsidRPr="00372C88">
        <w:rPr>
          <w:rFonts w:ascii="Times New Roman" w:hAnsi="Times New Roman" w:cs="Times New Roman"/>
          <w:sz w:val="18"/>
          <w:szCs w:val="18"/>
          <w:lang w:val="en-US"/>
        </w:rPr>
        <w:t xml:space="preserve"> Ibid, para 336.</w:t>
      </w:r>
    </w:p>
  </w:footnote>
  <w:footnote w:id="3">
    <w:p w14:paraId="1C6DB854" w14:textId="77777777" w:rsidR="00044CF4" w:rsidRPr="00A6334A" w:rsidRDefault="00044CF4" w:rsidP="00044CF4">
      <w:pPr>
        <w:pStyle w:val="FootnoteText"/>
        <w:jc w:val="both"/>
        <w:rPr>
          <w:lang w:val="en-US"/>
        </w:rPr>
      </w:pPr>
      <w:r w:rsidRPr="00372C88">
        <w:rPr>
          <w:rStyle w:val="FootnoteReference"/>
          <w:rFonts w:ascii="Times New Roman" w:hAnsi="Times New Roman" w:cs="Times New Roman"/>
          <w:sz w:val="18"/>
          <w:szCs w:val="18"/>
        </w:rPr>
        <w:footnoteRef/>
      </w:r>
      <w:r w:rsidRPr="00372C88">
        <w:rPr>
          <w:rFonts w:ascii="Times New Roman" w:hAnsi="Times New Roman" w:cs="Times New Roman"/>
          <w:sz w:val="18"/>
          <w:szCs w:val="18"/>
          <w:lang w:val="en-US"/>
        </w:rPr>
        <w:t xml:space="preserve"> Other elements of the policy include the obligation to respect the human rights of human rights defenders, to prevent the human rights violations of human rights defenders </w:t>
      </w:r>
      <w:r>
        <w:rPr>
          <w:rFonts w:ascii="Times New Roman" w:hAnsi="Times New Roman" w:cs="Times New Roman"/>
          <w:sz w:val="18"/>
          <w:szCs w:val="18"/>
          <w:lang w:val="en-US"/>
        </w:rPr>
        <w:t xml:space="preserve">(by creating a human rights culture that acknowledges the work of human rights defenders, training public authorities and by combatting structural problems) </w:t>
      </w:r>
      <w:r w:rsidRPr="00372C88">
        <w:rPr>
          <w:rFonts w:ascii="Times New Roman" w:hAnsi="Times New Roman" w:cs="Times New Roman"/>
          <w:sz w:val="18"/>
          <w:szCs w:val="18"/>
          <w:lang w:val="en-US"/>
        </w:rPr>
        <w:t>and the obligation to protect and guarantee the right to life and personal integrity of human rights defenders when they are confronted with a risk</w:t>
      </w:r>
      <w:r>
        <w:rPr>
          <w:rFonts w:ascii="Times New Roman" w:hAnsi="Times New Roman" w:cs="Times New Roman"/>
          <w:sz w:val="18"/>
          <w:szCs w:val="18"/>
          <w:lang w:val="en-US"/>
        </w:rPr>
        <w:t>s/dangerous situations</w:t>
      </w:r>
      <w:r w:rsidRPr="00372C88">
        <w:rPr>
          <w:rFonts w:ascii="Times New Roman" w:hAnsi="Times New Roman" w:cs="Times New Roman"/>
          <w:sz w:val="18"/>
          <w:szCs w:val="18"/>
          <w:lang w:val="en-US"/>
        </w:rPr>
        <w:t>.</w:t>
      </w:r>
    </w:p>
  </w:footnote>
  <w:footnote w:id="4">
    <w:p w14:paraId="38451E05" w14:textId="77777777" w:rsidR="00044CF4" w:rsidRPr="00A6334A" w:rsidRDefault="00044CF4" w:rsidP="00044CF4">
      <w:pPr>
        <w:pStyle w:val="FootnoteText"/>
        <w:jc w:val="both"/>
        <w:rPr>
          <w:rFonts w:ascii="Times New Roman" w:hAnsi="Times New Roman" w:cs="Times New Roman"/>
          <w:sz w:val="18"/>
          <w:szCs w:val="18"/>
          <w:lang w:val="en-US"/>
        </w:rPr>
      </w:pPr>
      <w:r w:rsidRPr="00A6334A">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A/HRC/37/51/Add.2, </w:t>
      </w:r>
      <w:r w:rsidRPr="00A6334A">
        <w:rPr>
          <w:rFonts w:ascii="Times New Roman" w:hAnsi="Times New Roman" w:cs="Times New Roman"/>
          <w:sz w:val="18"/>
          <w:szCs w:val="18"/>
          <w:lang w:val="en-US"/>
        </w:rPr>
        <w:t>Report of the Special Rapporteur on the situation of human</w:t>
      </w:r>
      <w:r>
        <w:rPr>
          <w:rFonts w:ascii="Times New Roman" w:hAnsi="Times New Roman" w:cs="Times New Roman"/>
          <w:sz w:val="18"/>
          <w:szCs w:val="18"/>
          <w:lang w:val="en-US"/>
        </w:rPr>
        <w:t xml:space="preserve"> </w:t>
      </w:r>
      <w:r w:rsidRPr="00A6334A">
        <w:rPr>
          <w:rFonts w:ascii="Times New Roman" w:hAnsi="Times New Roman" w:cs="Times New Roman"/>
          <w:sz w:val="18"/>
          <w:szCs w:val="18"/>
          <w:lang w:val="en-US"/>
        </w:rPr>
        <w:t>rights defenders on his mission to Mexico</w:t>
      </w:r>
      <w:r>
        <w:rPr>
          <w:rFonts w:ascii="Times New Roman" w:hAnsi="Times New Roman" w:cs="Times New Roman"/>
          <w:sz w:val="18"/>
          <w:szCs w:val="18"/>
          <w:lang w:val="en-US"/>
        </w:rPr>
        <w:t>, 12 February 2018, p</w:t>
      </w:r>
      <w:r w:rsidRPr="00A6334A">
        <w:rPr>
          <w:rFonts w:ascii="Times New Roman" w:hAnsi="Times New Roman" w:cs="Times New Roman"/>
          <w:sz w:val="18"/>
          <w:szCs w:val="18"/>
          <w:lang w:val="en-US"/>
        </w:rPr>
        <w:t>aragraph 50</w:t>
      </w:r>
      <w:r>
        <w:rPr>
          <w:rFonts w:ascii="Times New Roman" w:hAnsi="Times New Roman" w:cs="Times New Roman"/>
          <w:sz w:val="18"/>
          <w:szCs w:val="18"/>
          <w:lang w:val="en-US"/>
        </w:rPr>
        <w:t>.</w:t>
      </w:r>
    </w:p>
  </w:footnote>
  <w:footnote w:id="5">
    <w:p w14:paraId="679D131C" w14:textId="3333249D" w:rsidR="00044CF4" w:rsidRPr="00044CF4" w:rsidRDefault="00044CF4" w:rsidP="00044CF4">
      <w:pPr>
        <w:pStyle w:val="FootnoteText"/>
        <w:jc w:val="both"/>
        <w:rPr>
          <w:rFonts w:ascii="Times New Roman" w:hAnsi="Times New Roman" w:cs="Times New Roman"/>
          <w:sz w:val="18"/>
          <w:szCs w:val="18"/>
          <w:lang w:val="en-US"/>
        </w:rPr>
      </w:pPr>
      <w:r w:rsidRPr="00044CF4">
        <w:rPr>
          <w:rStyle w:val="FootnoteReference"/>
          <w:rFonts w:ascii="Times New Roman" w:hAnsi="Times New Roman" w:cs="Times New Roman"/>
          <w:sz w:val="18"/>
          <w:szCs w:val="18"/>
        </w:rPr>
        <w:footnoteRef/>
      </w:r>
      <w:r w:rsidRPr="00044CF4">
        <w:rPr>
          <w:rFonts w:ascii="Times New Roman" w:hAnsi="Times New Roman" w:cs="Times New Roman"/>
          <w:sz w:val="18"/>
          <w:szCs w:val="18"/>
          <w:lang w:val="en-US"/>
        </w:rPr>
        <w:t xml:space="preserve"> While this submission focuse</w:t>
      </w:r>
      <w:r>
        <w:rPr>
          <w:rFonts w:ascii="Times New Roman" w:hAnsi="Times New Roman" w:cs="Times New Roman"/>
          <w:sz w:val="18"/>
          <w:szCs w:val="18"/>
          <w:lang w:val="en-US"/>
        </w:rPr>
        <w:t>s</w:t>
      </w:r>
      <w:r w:rsidRPr="00044CF4">
        <w:rPr>
          <w:rFonts w:ascii="Times New Roman" w:hAnsi="Times New Roman" w:cs="Times New Roman"/>
          <w:sz w:val="18"/>
          <w:szCs w:val="18"/>
          <w:lang w:val="en-US"/>
        </w:rPr>
        <w:t xml:space="preserve"> on children’s </w:t>
      </w:r>
      <w:r>
        <w:rPr>
          <w:rFonts w:ascii="Times New Roman" w:hAnsi="Times New Roman" w:cs="Times New Roman"/>
          <w:sz w:val="18"/>
          <w:szCs w:val="18"/>
          <w:lang w:val="en-US"/>
        </w:rPr>
        <w:t xml:space="preserve">human rights defenders </w:t>
      </w:r>
      <w:r w:rsidRPr="00044CF4">
        <w:rPr>
          <w:rFonts w:ascii="Times New Roman" w:hAnsi="Times New Roman" w:cs="Times New Roman"/>
          <w:sz w:val="18"/>
          <w:szCs w:val="18"/>
          <w:lang w:val="en-US"/>
        </w:rPr>
        <w:t xml:space="preserve">ability to report human rights violations, it </w:t>
      </w:r>
      <w:r>
        <w:rPr>
          <w:rFonts w:ascii="Times New Roman" w:hAnsi="Times New Roman" w:cs="Times New Roman"/>
          <w:sz w:val="18"/>
          <w:szCs w:val="18"/>
          <w:lang w:val="en-US"/>
        </w:rPr>
        <w:t>should be noted that w</w:t>
      </w:r>
      <w:r w:rsidRPr="00044CF4">
        <w:rPr>
          <w:rFonts w:ascii="Times New Roman" w:hAnsi="Times New Roman" w:cs="Times New Roman"/>
          <w:sz w:val="18"/>
          <w:szCs w:val="18"/>
          <w:lang w:val="en-US"/>
        </w:rPr>
        <w:t xml:space="preserve">hen the authorities have knowledge of the human rights violation of a human rights defender, they must initiate a serious, impartial and effective ex officio investigation and without delay. </w:t>
      </w:r>
      <w:r>
        <w:rPr>
          <w:rFonts w:ascii="Times New Roman" w:hAnsi="Times New Roman" w:cs="Times New Roman"/>
          <w:sz w:val="18"/>
          <w:szCs w:val="18"/>
          <w:lang w:val="en-US"/>
        </w:rPr>
        <w:t>Furthermore, a</w:t>
      </w:r>
      <w:r w:rsidRPr="00044CF4">
        <w:rPr>
          <w:rFonts w:ascii="Times New Roman" w:hAnsi="Times New Roman" w:cs="Times New Roman"/>
          <w:sz w:val="18"/>
          <w:szCs w:val="18"/>
          <w:lang w:val="en-US"/>
        </w:rPr>
        <w:t>lthough the duty to investigate is an obligation of means and not of result, it must be undertaken by the State as a duty of its own and not as a mere pre-established and ineffective formality that depends on the impulse of the victims or their relatives</w:t>
      </w:r>
      <w:r>
        <w:rPr>
          <w:rFonts w:ascii="Times New Roman" w:hAnsi="Times New Roman" w:cs="Times New Roman"/>
          <w:sz w:val="18"/>
          <w:szCs w:val="18"/>
          <w:lang w:val="en-US"/>
        </w:rPr>
        <w:t>.</w:t>
      </w:r>
    </w:p>
  </w:footnote>
  <w:footnote w:id="6">
    <w:p w14:paraId="71B5A215" w14:textId="77777777" w:rsidR="00D50CDD" w:rsidRPr="00462917" w:rsidRDefault="00D50CDD" w:rsidP="00D50CDD">
      <w:pPr>
        <w:pStyle w:val="FootnoteText"/>
        <w:jc w:val="both"/>
        <w:rPr>
          <w:rFonts w:ascii="Times New Roman" w:hAnsi="Times New Roman" w:cs="Times New Roman"/>
          <w:sz w:val="18"/>
          <w:szCs w:val="18"/>
          <w:lang w:val="en-US"/>
        </w:rPr>
      </w:pPr>
      <w:r w:rsidRPr="00462917">
        <w:rPr>
          <w:rStyle w:val="FootnoteReference"/>
          <w:rFonts w:ascii="Times New Roman" w:hAnsi="Times New Roman" w:cs="Times New Roman"/>
          <w:sz w:val="18"/>
          <w:szCs w:val="18"/>
        </w:rPr>
        <w:footnoteRef/>
      </w:r>
      <w:r w:rsidRPr="00462917">
        <w:rPr>
          <w:rFonts w:ascii="Times New Roman" w:hAnsi="Times New Roman" w:cs="Times New Roman"/>
          <w:sz w:val="18"/>
          <w:szCs w:val="18"/>
          <w:lang w:val="en-US"/>
        </w:rPr>
        <w:t xml:space="preserve"> Centre for Children’s Rights at Queen’s University Belfast, The Views, Perspectives and Recommendations of Children Across the World, page 9.</w:t>
      </w:r>
    </w:p>
  </w:footnote>
  <w:footnote w:id="7">
    <w:p w14:paraId="592C6650" w14:textId="6D057D65" w:rsidR="3C1A3675" w:rsidRDefault="3C1A3675" w:rsidP="3C1A3675">
      <w:pPr>
        <w:pStyle w:val="FootnoteText"/>
        <w:rPr>
          <w:rFonts w:ascii="Times New Roman" w:eastAsia="Times New Roman" w:hAnsi="Times New Roman" w:cs="Times New Roman"/>
          <w:sz w:val="18"/>
          <w:szCs w:val="18"/>
        </w:rPr>
      </w:pPr>
      <w:r w:rsidRPr="3C1A3675">
        <w:rPr>
          <w:rStyle w:val="FootnoteReference"/>
          <w:rFonts w:ascii="Times New Roman" w:eastAsia="Times New Roman" w:hAnsi="Times New Roman" w:cs="Times New Roman"/>
          <w:sz w:val="18"/>
          <w:szCs w:val="18"/>
        </w:rPr>
        <w:footnoteRef/>
      </w:r>
      <w:r w:rsidRPr="3C1A3675">
        <w:rPr>
          <w:rFonts w:ascii="Times New Roman" w:eastAsia="Times New Roman" w:hAnsi="Times New Roman" w:cs="Times New Roman"/>
          <w:sz w:val="18"/>
          <w:szCs w:val="18"/>
        </w:rPr>
        <w:t xml:space="preserve"> CRC Asia submission to 2018 DGD on Children Human Rights Defenders.</w:t>
      </w:r>
    </w:p>
  </w:footnote>
  <w:footnote w:id="8">
    <w:p w14:paraId="60180620" w14:textId="77777777" w:rsidR="00D50CDD" w:rsidRPr="00023099" w:rsidRDefault="00D50CDD" w:rsidP="00D50CDD">
      <w:pPr>
        <w:pStyle w:val="FootnoteText"/>
        <w:jc w:val="both"/>
        <w:rPr>
          <w:rFonts w:ascii="Times New Roman" w:hAnsi="Times New Roman" w:cs="Times New Roman"/>
          <w:sz w:val="18"/>
          <w:szCs w:val="18"/>
          <w:lang w:val="en-US"/>
        </w:rPr>
      </w:pPr>
      <w:r w:rsidRPr="00023099">
        <w:rPr>
          <w:rStyle w:val="FootnoteReference"/>
          <w:rFonts w:ascii="Times New Roman" w:hAnsi="Times New Roman" w:cs="Times New Roman"/>
          <w:sz w:val="18"/>
          <w:szCs w:val="18"/>
        </w:rPr>
        <w:footnoteRef/>
      </w:r>
      <w:r w:rsidRPr="00023099">
        <w:rPr>
          <w:rFonts w:ascii="Times New Roman" w:hAnsi="Times New Roman" w:cs="Times New Roman"/>
          <w:sz w:val="18"/>
          <w:szCs w:val="18"/>
          <w:lang w:val="en-US"/>
        </w:rPr>
        <w:t xml:space="preserve"> 2018 Day of General Discussion (DGD) Background Paper: Protecting and empowering children as human rights defenders</w:t>
      </w:r>
      <w:r>
        <w:rPr>
          <w:rFonts w:ascii="Times New Roman" w:hAnsi="Times New Roman" w:cs="Times New Roman"/>
          <w:sz w:val="18"/>
          <w:szCs w:val="18"/>
          <w:lang w:val="en-US"/>
        </w:rPr>
        <w:t>, “</w:t>
      </w:r>
      <w:r w:rsidRPr="00023099">
        <w:rPr>
          <w:rFonts w:ascii="Times New Roman" w:hAnsi="Times New Roman" w:cs="Times New Roman"/>
          <w:sz w:val="18"/>
          <w:szCs w:val="18"/>
          <w:lang w:val="en-US"/>
        </w:rPr>
        <w:t>Lack or inadequate environment and spaces for children human rights defenders to participate and report</w:t>
      </w:r>
      <w:r>
        <w:rPr>
          <w:rFonts w:ascii="Times New Roman" w:hAnsi="Times New Roman" w:cs="Times New Roman"/>
          <w:sz w:val="18"/>
          <w:szCs w:val="18"/>
          <w:lang w:val="en-US"/>
        </w:rPr>
        <w:t>”.</w:t>
      </w:r>
    </w:p>
  </w:footnote>
  <w:footnote w:id="9">
    <w:p w14:paraId="14AFD544" w14:textId="77777777" w:rsidR="00D50CDD" w:rsidRPr="00487E4E" w:rsidRDefault="00D50CDD" w:rsidP="00D50CDD">
      <w:pPr>
        <w:pStyle w:val="FootnoteText"/>
        <w:rPr>
          <w:rFonts w:ascii="Times New Roman" w:hAnsi="Times New Roman" w:cs="Times New Roman"/>
          <w:sz w:val="18"/>
          <w:szCs w:val="18"/>
          <w:lang w:val="en-US"/>
        </w:rPr>
      </w:pPr>
      <w:r w:rsidRPr="00487E4E">
        <w:rPr>
          <w:rStyle w:val="FootnoteReference"/>
          <w:rFonts w:ascii="Times New Roman" w:hAnsi="Times New Roman" w:cs="Times New Roman"/>
          <w:sz w:val="18"/>
          <w:szCs w:val="18"/>
        </w:rPr>
        <w:footnoteRef/>
      </w:r>
      <w:r w:rsidRPr="00487E4E">
        <w:rPr>
          <w:rFonts w:ascii="Times New Roman" w:hAnsi="Times New Roman" w:cs="Times New Roman"/>
          <w:sz w:val="18"/>
          <w:szCs w:val="18"/>
          <w:lang w:val="en-US"/>
        </w:rPr>
        <w:t xml:space="preserve"> Ibid, </w:t>
      </w:r>
      <w:r>
        <w:rPr>
          <w:rFonts w:ascii="Times New Roman" w:hAnsi="Times New Roman" w:cs="Times New Roman"/>
          <w:sz w:val="18"/>
          <w:szCs w:val="18"/>
          <w:lang w:val="en-US"/>
        </w:rPr>
        <w:t>“</w:t>
      </w:r>
      <w:r w:rsidRPr="00487E4E">
        <w:rPr>
          <w:rFonts w:ascii="Times New Roman" w:hAnsi="Times New Roman" w:cs="Times New Roman"/>
          <w:sz w:val="18"/>
          <w:szCs w:val="18"/>
          <w:lang w:val="en-US"/>
        </w:rPr>
        <w:t>Governments</w:t>
      </w:r>
      <w:r>
        <w:rPr>
          <w:rFonts w:ascii="Times New Roman" w:hAnsi="Times New Roman" w:cs="Times New Roman"/>
          <w:sz w:val="18"/>
          <w:szCs w:val="18"/>
          <w:lang w:val="en-US"/>
        </w:rPr>
        <w:t>”</w:t>
      </w:r>
      <w:r w:rsidRPr="00487E4E">
        <w:rPr>
          <w:rFonts w:ascii="Times New Roman" w:hAnsi="Times New Roman" w:cs="Times New Roman"/>
          <w:sz w:val="18"/>
          <w:szCs w:val="18"/>
          <w:lang w:val="en-US"/>
        </w:rPr>
        <w:t>, 3) Be protected against reprisals.</w:t>
      </w:r>
    </w:p>
  </w:footnote>
  <w:footnote w:id="10">
    <w:p w14:paraId="29D7BB94" w14:textId="3BCE69CB" w:rsidR="3C1A3675" w:rsidRDefault="3C1A3675" w:rsidP="3C1A3675">
      <w:pPr>
        <w:pStyle w:val="FootnoteText"/>
        <w:rPr>
          <w:rFonts w:ascii="Times New Roman" w:eastAsia="Times New Roman" w:hAnsi="Times New Roman" w:cs="Times New Roman"/>
          <w:sz w:val="18"/>
          <w:szCs w:val="18"/>
        </w:rPr>
      </w:pPr>
      <w:r w:rsidRPr="3C1A3675">
        <w:rPr>
          <w:rStyle w:val="FootnoteReference"/>
        </w:rPr>
        <w:footnoteRef/>
      </w:r>
      <w:r>
        <w:t xml:space="preserve"> </w:t>
      </w:r>
      <w:r w:rsidRPr="3C1A3675">
        <w:rPr>
          <w:rFonts w:ascii="Times New Roman" w:eastAsia="Times New Roman" w:hAnsi="Times New Roman" w:cs="Times New Roman"/>
          <w:sz w:val="18"/>
          <w:szCs w:val="18"/>
        </w:rPr>
        <w:t>CRC Asia submission to 2018 DGD on Children Human Rights Defenders.</w:t>
      </w:r>
    </w:p>
  </w:footnote>
  <w:footnote w:id="11">
    <w:p w14:paraId="38954ACD" w14:textId="77777777" w:rsidR="00D50CDD" w:rsidRPr="00EE6B9C" w:rsidRDefault="00D50CDD" w:rsidP="00D50CDD">
      <w:pPr>
        <w:pStyle w:val="FootnoteText"/>
        <w:jc w:val="both"/>
        <w:rPr>
          <w:rFonts w:ascii="Times New Roman" w:hAnsi="Times New Roman" w:cs="Times New Roman"/>
          <w:sz w:val="18"/>
          <w:szCs w:val="18"/>
          <w:lang w:val="en-US"/>
        </w:rPr>
      </w:pPr>
      <w:r w:rsidRPr="00EE6B9C">
        <w:rPr>
          <w:rStyle w:val="FootnoteReference"/>
          <w:rFonts w:ascii="Times New Roman" w:hAnsi="Times New Roman" w:cs="Times New Roman"/>
          <w:sz w:val="18"/>
          <w:szCs w:val="18"/>
        </w:rPr>
        <w:footnoteRef/>
      </w:r>
      <w:r w:rsidRPr="00EE6B9C">
        <w:rPr>
          <w:rFonts w:ascii="Times New Roman" w:hAnsi="Times New Roman" w:cs="Times New Roman"/>
          <w:sz w:val="18"/>
          <w:szCs w:val="18"/>
          <w:lang w:val="en-US"/>
        </w:rPr>
        <w:t xml:space="preserve"> Ibid, </w:t>
      </w:r>
      <w:r>
        <w:rPr>
          <w:rFonts w:ascii="Times New Roman" w:hAnsi="Times New Roman" w:cs="Times New Roman"/>
          <w:sz w:val="18"/>
          <w:szCs w:val="18"/>
          <w:lang w:val="en-US"/>
        </w:rPr>
        <w:t>“</w:t>
      </w:r>
      <w:r w:rsidRPr="00EE6B9C">
        <w:rPr>
          <w:rFonts w:ascii="Times New Roman" w:hAnsi="Times New Roman" w:cs="Times New Roman"/>
          <w:sz w:val="18"/>
          <w:szCs w:val="18"/>
          <w:lang w:val="en-US"/>
        </w:rPr>
        <w:t>Lack of access to information</w:t>
      </w:r>
      <w:r>
        <w:rPr>
          <w:rFonts w:ascii="Times New Roman" w:hAnsi="Times New Roman" w:cs="Times New Roman"/>
          <w:sz w:val="18"/>
          <w:szCs w:val="18"/>
          <w:lang w:val="en-US"/>
        </w:rPr>
        <w:t>”</w:t>
      </w:r>
      <w:r w:rsidRPr="00EE6B9C">
        <w:rPr>
          <w:rFonts w:ascii="Times New Roman" w:hAnsi="Times New Roman" w:cs="Times New Roman"/>
          <w:sz w:val="18"/>
          <w:szCs w:val="18"/>
          <w:lang w:val="en-US"/>
        </w:rPr>
        <w:t>.</w:t>
      </w:r>
    </w:p>
  </w:footnote>
  <w:footnote w:id="12">
    <w:p w14:paraId="52635DAF" w14:textId="77777777" w:rsidR="00D50CDD" w:rsidRPr="00EE6B9C" w:rsidRDefault="00D50CDD" w:rsidP="00D50CDD">
      <w:pPr>
        <w:pStyle w:val="FootnoteText"/>
        <w:jc w:val="both"/>
        <w:rPr>
          <w:lang w:val="en-US"/>
        </w:rPr>
      </w:pPr>
      <w:r w:rsidRPr="00EE6B9C">
        <w:rPr>
          <w:rStyle w:val="FootnoteReference"/>
          <w:rFonts w:ascii="Times New Roman" w:hAnsi="Times New Roman" w:cs="Times New Roman"/>
          <w:sz w:val="18"/>
          <w:szCs w:val="18"/>
        </w:rPr>
        <w:footnoteRef/>
      </w:r>
      <w:r w:rsidRPr="00EE6B9C">
        <w:rPr>
          <w:rFonts w:ascii="Times New Roman" w:hAnsi="Times New Roman" w:cs="Times New Roman"/>
          <w:sz w:val="18"/>
          <w:szCs w:val="18"/>
          <w:lang w:val="en-US"/>
        </w:rPr>
        <w:t xml:space="preserve"> Centre for Children’s Rights at Queen’s University Belfast, The Views, Perspectives and Recommendations of Children Across the World, page 14</w:t>
      </w:r>
      <w:r>
        <w:rPr>
          <w:rFonts w:ascii="Times New Roman" w:hAnsi="Times New Roman" w:cs="Times New Roman"/>
          <w:sz w:val="18"/>
          <w:szCs w:val="18"/>
          <w:lang w:val="en-US"/>
        </w:rPr>
        <w:t xml:space="preserve"> and 19.</w:t>
      </w:r>
    </w:p>
  </w:footnote>
  <w:footnote w:id="13">
    <w:p w14:paraId="490DD9CA" w14:textId="77777777" w:rsidR="00D50CDD" w:rsidRPr="00F2351A" w:rsidRDefault="00D50CDD" w:rsidP="00D50CDD">
      <w:pPr>
        <w:pStyle w:val="FootnoteText"/>
        <w:rPr>
          <w:rFonts w:ascii="Times New Roman" w:hAnsi="Times New Roman" w:cs="Times New Roman"/>
          <w:sz w:val="18"/>
          <w:szCs w:val="18"/>
          <w:lang w:val="en-US"/>
        </w:rPr>
      </w:pPr>
      <w:r w:rsidRPr="00F2351A">
        <w:rPr>
          <w:rStyle w:val="FootnoteReference"/>
          <w:rFonts w:ascii="Times New Roman" w:hAnsi="Times New Roman" w:cs="Times New Roman"/>
          <w:sz w:val="18"/>
          <w:szCs w:val="18"/>
        </w:rPr>
        <w:footnoteRef/>
      </w:r>
      <w:r w:rsidRPr="00F2351A">
        <w:rPr>
          <w:rFonts w:ascii="Times New Roman" w:hAnsi="Times New Roman" w:cs="Times New Roman"/>
          <w:sz w:val="18"/>
          <w:szCs w:val="18"/>
          <w:lang w:val="en-US"/>
        </w:rPr>
        <w:t xml:space="preserve"> Ib</w:t>
      </w:r>
      <w:r>
        <w:rPr>
          <w:rFonts w:ascii="Times New Roman" w:hAnsi="Times New Roman" w:cs="Times New Roman"/>
          <w:sz w:val="18"/>
          <w:szCs w:val="18"/>
          <w:lang w:val="en-US"/>
        </w:rPr>
        <w:t>i</w:t>
      </w:r>
      <w:r w:rsidRPr="00F2351A">
        <w:rPr>
          <w:rFonts w:ascii="Times New Roman" w:hAnsi="Times New Roman" w:cs="Times New Roman"/>
          <w:sz w:val="18"/>
          <w:szCs w:val="18"/>
          <w:lang w:val="en-US"/>
        </w:rPr>
        <w:t>d, p15</w:t>
      </w:r>
      <w:r>
        <w:rPr>
          <w:rFonts w:ascii="Times New Roman" w:hAnsi="Times New Roman" w:cs="Times New Roman"/>
          <w:sz w:val="18"/>
          <w:szCs w:val="18"/>
          <w:lang w:val="en-US"/>
        </w:rPr>
        <w:t xml:space="preserve"> and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3C1A3675" w14:paraId="6CEA0B77" w14:textId="77777777" w:rsidTr="3C1A3675">
      <w:tc>
        <w:tcPr>
          <w:tcW w:w="3024" w:type="dxa"/>
        </w:tcPr>
        <w:p w14:paraId="146CE9D6" w14:textId="26E7EABD" w:rsidR="3C1A3675" w:rsidRDefault="3C1A3675" w:rsidP="3C1A3675">
          <w:pPr>
            <w:pStyle w:val="Header"/>
            <w:ind w:left="-115"/>
          </w:pPr>
        </w:p>
      </w:tc>
      <w:tc>
        <w:tcPr>
          <w:tcW w:w="3024" w:type="dxa"/>
        </w:tcPr>
        <w:p w14:paraId="6DA1456E" w14:textId="6273F3E7" w:rsidR="3C1A3675" w:rsidRDefault="3C1A3675" w:rsidP="3C1A3675">
          <w:pPr>
            <w:pStyle w:val="Header"/>
            <w:jc w:val="center"/>
          </w:pPr>
        </w:p>
      </w:tc>
      <w:tc>
        <w:tcPr>
          <w:tcW w:w="3024" w:type="dxa"/>
        </w:tcPr>
        <w:p w14:paraId="1DD3D524" w14:textId="15DB05CD" w:rsidR="3C1A3675" w:rsidRDefault="3C1A3675" w:rsidP="3C1A3675">
          <w:pPr>
            <w:pStyle w:val="Header"/>
            <w:ind w:right="-115"/>
            <w:jc w:val="right"/>
          </w:pPr>
        </w:p>
      </w:tc>
    </w:tr>
  </w:tbl>
  <w:p w14:paraId="01464C1B" w14:textId="20D9E070" w:rsidR="3C1A3675" w:rsidRDefault="3C1A3675" w:rsidP="3C1A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501BE"/>
    <w:multiLevelType w:val="hybridMultilevel"/>
    <w:tmpl w:val="02FA9976"/>
    <w:lvl w:ilvl="0" w:tplc="EAA0A1D2">
      <w:start w:val="1"/>
      <w:numFmt w:val="bullet"/>
      <w:lvlText w:val="▫"/>
      <w:lvlJc w:val="left"/>
      <w:pPr>
        <w:ind w:left="720" w:hanging="360"/>
      </w:pPr>
      <w:rPr>
        <w:rFonts w:ascii="Courier New" w:hAnsi="Courier New" w:hint="default"/>
      </w:rPr>
    </w:lvl>
    <w:lvl w:ilvl="1" w:tplc="7A0EFF44">
      <w:start w:val="1"/>
      <w:numFmt w:val="bullet"/>
      <w:lvlText w:val="o"/>
      <w:lvlJc w:val="left"/>
      <w:pPr>
        <w:ind w:left="1440" w:hanging="360"/>
      </w:pPr>
      <w:rPr>
        <w:rFonts w:ascii="Courier New" w:hAnsi="Courier New" w:hint="default"/>
      </w:rPr>
    </w:lvl>
    <w:lvl w:ilvl="2" w:tplc="7902DB9A">
      <w:start w:val="1"/>
      <w:numFmt w:val="bullet"/>
      <w:lvlText w:val=""/>
      <w:lvlJc w:val="left"/>
      <w:pPr>
        <w:ind w:left="2160" w:hanging="360"/>
      </w:pPr>
      <w:rPr>
        <w:rFonts w:ascii="Wingdings" w:hAnsi="Wingdings" w:hint="default"/>
      </w:rPr>
    </w:lvl>
    <w:lvl w:ilvl="3" w:tplc="3CE0DAE4">
      <w:start w:val="1"/>
      <w:numFmt w:val="bullet"/>
      <w:lvlText w:val=""/>
      <w:lvlJc w:val="left"/>
      <w:pPr>
        <w:ind w:left="2880" w:hanging="360"/>
      </w:pPr>
      <w:rPr>
        <w:rFonts w:ascii="Symbol" w:hAnsi="Symbol" w:hint="default"/>
      </w:rPr>
    </w:lvl>
    <w:lvl w:ilvl="4" w:tplc="E85230E4">
      <w:start w:val="1"/>
      <w:numFmt w:val="bullet"/>
      <w:lvlText w:val="o"/>
      <w:lvlJc w:val="left"/>
      <w:pPr>
        <w:ind w:left="3600" w:hanging="360"/>
      </w:pPr>
      <w:rPr>
        <w:rFonts w:ascii="Courier New" w:hAnsi="Courier New" w:hint="default"/>
      </w:rPr>
    </w:lvl>
    <w:lvl w:ilvl="5" w:tplc="0A48C476">
      <w:start w:val="1"/>
      <w:numFmt w:val="bullet"/>
      <w:lvlText w:val=""/>
      <w:lvlJc w:val="left"/>
      <w:pPr>
        <w:ind w:left="4320" w:hanging="360"/>
      </w:pPr>
      <w:rPr>
        <w:rFonts w:ascii="Wingdings" w:hAnsi="Wingdings" w:hint="default"/>
      </w:rPr>
    </w:lvl>
    <w:lvl w:ilvl="6" w:tplc="7D9ADE80">
      <w:start w:val="1"/>
      <w:numFmt w:val="bullet"/>
      <w:lvlText w:val=""/>
      <w:lvlJc w:val="left"/>
      <w:pPr>
        <w:ind w:left="5040" w:hanging="360"/>
      </w:pPr>
      <w:rPr>
        <w:rFonts w:ascii="Symbol" w:hAnsi="Symbol" w:hint="default"/>
      </w:rPr>
    </w:lvl>
    <w:lvl w:ilvl="7" w:tplc="97BA3022">
      <w:start w:val="1"/>
      <w:numFmt w:val="bullet"/>
      <w:lvlText w:val="o"/>
      <w:lvlJc w:val="left"/>
      <w:pPr>
        <w:ind w:left="5760" w:hanging="360"/>
      </w:pPr>
      <w:rPr>
        <w:rFonts w:ascii="Courier New" w:hAnsi="Courier New" w:hint="default"/>
      </w:rPr>
    </w:lvl>
    <w:lvl w:ilvl="8" w:tplc="D5EECD8A">
      <w:start w:val="1"/>
      <w:numFmt w:val="bullet"/>
      <w:lvlText w:val=""/>
      <w:lvlJc w:val="left"/>
      <w:pPr>
        <w:ind w:left="6480" w:hanging="360"/>
      </w:pPr>
      <w:rPr>
        <w:rFonts w:ascii="Wingdings" w:hAnsi="Wingdings" w:hint="default"/>
      </w:rPr>
    </w:lvl>
  </w:abstractNum>
  <w:abstractNum w:abstractNumId="1" w15:restartNumberingAfterBreak="0">
    <w:nsid w:val="465E565C"/>
    <w:multiLevelType w:val="hybridMultilevel"/>
    <w:tmpl w:val="0382E1CC"/>
    <w:lvl w:ilvl="0" w:tplc="13B69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E6CED"/>
    <w:multiLevelType w:val="hybridMultilevel"/>
    <w:tmpl w:val="151AC424"/>
    <w:lvl w:ilvl="0" w:tplc="1172C1C0">
      <w:start w:val="1"/>
      <w:numFmt w:val="decimal"/>
      <w:lvlText w:val="%1."/>
      <w:lvlJc w:val="left"/>
      <w:pPr>
        <w:ind w:left="720" w:hanging="360"/>
      </w:pPr>
    </w:lvl>
    <w:lvl w:ilvl="1" w:tplc="74C2D178">
      <w:start w:val="1"/>
      <w:numFmt w:val="lowerLetter"/>
      <w:lvlText w:val="%2."/>
      <w:lvlJc w:val="left"/>
      <w:pPr>
        <w:ind w:left="1440" w:hanging="360"/>
      </w:pPr>
    </w:lvl>
    <w:lvl w:ilvl="2" w:tplc="9A26401A">
      <w:start w:val="1"/>
      <w:numFmt w:val="lowerRoman"/>
      <w:lvlText w:val="%3."/>
      <w:lvlJc w:val="right"/>
      <w:pPr>
        <w:ind w:left="2160" w:hanging="180"/>
      </w:pPr>
    </w:lvl>
    <w:lvl w:ilvl="3" w:tplc="95EACC3A">
      <w:start w:val="1"/>
      <w:numFmt w:val="decimal"/>
      <w:lvlText w:val="%4."/>
      <w:lvlJc w:val="left"/>
      <w:pPr>
        <w:ind w:left="2880" w:hanging="360"/>
      </w:pPr>
    </w:lvl>
    <w:lvl w:ilvl="4" w:tplc="426EFD5C">
      <w:start w:val="1"/>
      <w:numFmt w:val="lowerLetter"/>
      <w:lvlText w:val="%5."/>
      <w:lvlJc w:val="left"/>
      <w:pPr>
        <w:ind w:left="3600" w:hanging="360"/>
      </w:pPr>
    </w:lvl>
    <w:lvl w:ilvl="5" w:tplc="5D82A284">
      <w:start w:val="1"/>
      <w:numFmt w:val="lowerRoman"/>
      <w:lvlText w:val="%6."/>
      <w:lvlJc w:val="right"/>
      <w:pPr>
        <w:ind w:left="4320" w:hanging="180"/>
      </w:pPr>
    </w:lvl>
    <w:lvl w:ilvl="6" w:tplc="4D6C8110">
      <w:start w:val="1"/>
      <w:numFmt w:val="decimal"/>
      <w:lvlText w:val="%7."/>
      <w:lvlJc w:val="left"/>
      <w:pPr>
        <w:ind w:left="5040" w:hanging="360"/>
      </w:pPr>
    </w:lvl>
    <w:lvl w:ilvl="7" w:tplc="B882CD12">
      <w:start w:val="1"/>
      <w:numFmt w:val="lowerLetter"/>
      <w:lvlText w:val="%8."/>
      <w:lvlJc w:val="left"/>
      <w:pPr>
        <w:ind w:left="5760" w:hanging="360"/>
      </w:pPr>
    </w:lvl>
    <w:lvl w:ilvl="8" w:tplc="A3C440E8">
      <w:start w:val="1"/>
      <w:numFmt w:val="lowerRoman"/>
      <w:lvlText w:val="%9."/>
      <w:lvlJc w:val="right"/>
      <w:pPr>
        <w:ind w:left="6480" w:hanging="180"/>
      </w:pPr>
    </w:lvl>
  </w:abstractNum>
  <w:abstractNum w:abstractNumId="3" w15:restartNumberingAfterBreak="0">
    <w:nsid w:val="5F29672E"/>
    <w:multiLevelType w:val="multilevel"/>
    <w:tmpl w:val="39C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BF39D6"/>
    <w:multiLevelType w:val="hybridMultilevel"/>
    <w:tmpl w:val="2A30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7070A"/>
    <w:multiLevelType w:val="hybridMultilevel"/>
    <w:tmpl w:val="96C0C6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71E318F"/>
    <w:multiLevelType w:val="hybridMultilevel"/>
    <w:tmpl w:val="FD462614"/>
    <w:lvl w:ilvl="0" w:tplc="4F444C3E">
      <w:start w:val="1"/>
      <w:numFmt w:val="bullet"/>
      <w:lvlText w:val=""/>
      <w:lvlJc w:val="left"/>
      <w:pPr>
        <w:ind w:left="720" w:hanging="360"/>
      </w:pPr>
      <w:rPr>
        <w:rFonts w:ascii="Symbol" w:hAnsi="Symbol" w:hint="default"/>
      </w:rPr>
    </w:lvl>
    <w:lvl w:ilvl="1" w:tplc="644075CC">
      <w:start w:val="1"/>
      <w:numFmt w:val="bullet"/>
      <w:lvlText w:val="o"/>
      <w:lvlJc w:val="left"/>
      <w:pPr>
        <w:ind w:left="1440" w:hanging="360"/>
      </w:pPr>
      <w:rPr>
        <w:rFonts w:ascii="Courier New" w:hAnsi="Courier New" w:hint="default"/>
      </w:rPr>
    </w:lvl>
    <w:lvl w:ilvl="2" w:tplc="98D838F8">
      <w:start w:val="1"/>
      <w:numFmt w:val="bullet"/>
      <w:lvlText w:val=""/>
      <w:lvlJc w:val="left"/>
      <w:pPr>
        <w:ind w:left="2160" w:hanging="360"/>
      </w:pPr>
      <w:rPr>
        <w:rFonts w:ascii="Wingdings" w:hAnsi="Wingdings" w:hint="default"/>
      </w:rPr>
    </w:lvl>
    <w:lvl w:ilvl="3" w:tplc="0CE614F6">
      <w:start w:val="1"/>
      <w:numFmt w:val="bullet"/>
      <w:lvlText w:val=""/>
      <w:lvlJc w:val="left"/>
      <w:pPr>
        <w:ind w:left="2880" w:hanging="360"/>
      </w:pPr>
      <w:rPr>
        <w:rFonts w:ascii="Symbol" w:hAnsi="Symbol" w:hint="default"/>
      </w:rPr>
    </w:lvl>
    <w:lvl w:ilvl="4" w:tplc="9A0072F8">
      <w:start w:val="1"/>
      <w:numFmt w:val="bullet"/>
      <w:lvlText w:val="o"/>
      <w:lvlJc w:val="left"/>
      <w:pPr>
        <w:ind w:left="3600" w:hanging="360"/>
      </w:pPr>
      <w:rPr>
        <w:rFonts w:ascii="Courier New" w:hAnsi="Courier New" w:hint="default"/>
      </w:rPr>
    </w:lvl>
    <w:lvl w:ilvl="5" w:tplc="0B9A4D24">
      <w:start w:val="1"/>
      <w:numFmt w:val="bullet"/>
      <w:lvlText w:val=""/>
      <w:lvlJc w:val="left"/>
      <w:pPr>
        <w:ind w:left="4320" w:hanging="360"/>
      </w:pPr>
      <w:rPr>
        <w:rFonts w:ascii="Wingdings" w:hAnsi="Wingdings" w:hint="default"/>
      </w:rPr>
    </w:lvl>
    <w:lvl w:ilvl="6" w:tplc="CCC8D44C">
      <w:start w:val="1"/>
      <w:numFmt w:val="bullet"/>
      <w:lvlText w:val=""/>
      <w:lvlJc w:val="left"/>
      <w:pPr>
        <w:ind w:left="5040" w:hanging="360"/>
      </w:pPr>
      <w:rPr>
        <w:rFonts w:ascii="Symbol" w:hAnsi="Symbol" w:hint="default"/>
      </w:rPr>
    </w:lvl>
    <w:lvl w:ilvl="7" w:tplc="1ECE093A">
      <w:start w:val="1"/>
      <w:numFmt w:val="bullet"/>
      <w:lvlText w:val="o"/>
      <w:lvlJc w:val="left"/>
      <w:pPr>
        <w:ind w:left="5760" w:hanging="360"/>
      </w:pPr>
      <w:rPr>
        <w:rFonts w:ascii="Courier New" w:hAnsi="Courier New" w:hint="default"/>
      </w:rPr>
    </w:lvl>
    <w:lvl w:ilvl="8" w:tplc="6178B712">
      <w:start w:val="1"/>
      <w:numFmt w:val="bullet"/>
      <w:lvlText w:val=""/>
      <w:lvlJc w:val="left"/>
      <w:pPr>
        <w:ind w:left="6480" w:hanging="360"/>
      </w:pPr>
      <w:rPr>
        <w:rFonts w:ascii="Wingdings" w:hAnsi="Wingdings" w:hint="default"/>
      </w:rPr>
    </w:lvl>
  </w:abstractNum>
  <w:abstractNum w:abstractNumId="7" w15:restartNumberingAfterBreak="0">
    <w:nsid w:val="7EA5414D"/>
    <w:multiLevelType w:val="hybridMultilevel"/>
    <w:tmpl w:val="BF6AE09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6D"/>
    <w:rsid w:val="00024C61"/>
    <w:rsid w:val="000445E8"/>
    <w:rsid w:val="00044CF4"/>
    <w:rsid w:val="00083EF1"/>
    <w:rsid w:val="00090EBE"/>
    <w:rsid w:val="00097568"/>
    <w:rsid w:val="000D59C6"/>
    <w:rsid w:val="000E181C"/>
    <w:rsid w:val="000F00A8"/>
    <w:rsid w:val="00131FF5"/>
    <w:rsid w:val="00145505"/>
    <w:rsid w:val="001C1E9F"/>
    <w:rsid w:val="001D2956"/>
    <w:rsid w:val="001F4584"/>
    <w:rsid w:val="00203E75"/>
    <w:rsid w:val="00265BDB"/>
    <w:rsid w:val="002E059B"/>
    <w:rsid w:val="002F30DC"/>
    <w:rsid w:val="00342461"/>
    <w:rsid w:val="00381C1E"/>
    <w:rsid w:val="003D3BEF"/>
    <w:rsid w:val="004A5E72"/>
    <w:rsid w:val="005154D6"/>
    <w:rsid w:val="00541E30"/>
    <w:rsid w:val="005B23FC"/>
    <w:rsid w:val="00600C88"/>
    <w:rsid w:val="00635501"/>
    <w:rsid w:val="0064370C"/>
    <w:rsid w:val="0067545C"/>
    <w:rsid w:val="00680A09"/>
    <w:rsid w:val="006A606D"/>
    <w:rsid w:val="006B2795"/>
    <w:rsid w:val="006E130D"/>
    <w:rsid w:val="006E66CB"/>
    <w:rsid w:val="006E7335"/>
    <w:rsid w:val="007576EE"/>
    <w:rsid w:val="00762E99"/>
    <w:rsid w:val="00774375"/>
    <w:rsid w:val="007B0215"/>
    <w:rsid w:val="00804333"/>
    <w:rsid w:val="008079CA"/>
    <w:rsid w:val="00874D23"/>
    <w:rsid w:val="00894B72"/>
    <w:rsid w:val="008D5968"/>
    <w:rsid w:val="00900AA9"/>
    <w:rsid w:val="009169E3"/>
    <w:rsid w:val="0094296E"/>
    <w:rsid w:val="009F3D05"/>
    <w:rsid w:val="009F73FB"/>
    <w:rsid w:val="00A15D5C"/>
    <w:rsid w:val="00AD2FCC"/>
    <w:rsid w:val="00AD3E8A"/>
    <w:rsid w:val="00B0797A"/>
    <w:rsid w:val="00B74FE1"/>
    <w:rsid w:val="00B9253E"/>
    <w:rsid w:val="00BA7A3C"/>
    <w:rsid w:val="00BC41C8"/>
    <w:rsid w:val="00BE22C6"/>
    <w:rsid w:val="00C26833"/>
    <w:rsid w:val="00CA37D4"/>
    <w:rsid w:val="00CF1EBA"/>
    <w:rsid w:val="00D44024"/>
    <w:rsid w:val="00D50CDD"/>
    <w:rsid w:val="00D77D21"/>
    <w:rsid w:val="00D87D7D"/>
    <w:rsid w:val="00DC540E"/>
    <w:rsid w:val="00E37512"/>
    <w:rsid w:val="00E42F11"/>
    <w:rsid w:val="00E621BF"/>
    <w:rsid w:val="00E75E70"/>
    <w:rsid w:val="00E9458F"/>
    <w:rsid w:val="00F210F6"/>
    <w:rsid w:val="00F329F2"/>
    <w:rsid w:val="00FC095F"/>
    <w:rsid w:val="0B04AE21"/>
    <w:rsid w:val="0B525FDA"/>
    <w:rsid w:val="17984E16"/>
    <w:rsid w:val="2080376B"/>
    <w:rsid w:val="2E5D31CB"/>
    <w:rsid w:val="3C1A3675"/>
    <w:rsid w:val="3D461A53"/>
    <w:rsid w:val="4F1EE4F8"/>
    <w:rsid w:val="4FC0C67B"/>
    <w:rsid w:val="77007128"/>
    <w:rsid w:val="78C5B955"/>
    <w:rsid w:val="7F4D73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016E"/>
  <w15:chartTrackingRefBased/>
  <w15:docId w15:val="{41725C7C-C565-4C57-AB45-6D00F6A6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70C"/>
    <w:rPr>
      <w:color w:val="0563C1" w:themeColor="hyperlink"/>
      <w:u w:val="single"/>
    </w:rPr>
  </w:style>
  <w:style w:type="character" w:styleId="UnresolvedMention">
    <w:name w:val="Unresolved Mention"/>
    <w:basedOn w:val="DefaultParagraphFont"/>
    <w:uiPriority w:val="99"/>
    <w:semiHidden/>
    <w:unhideWhenUsed/>
    <w:rsid w:val="0064370C"/>
    <w:rPr>
      <w:color w:val="605E5C"/>
      <w:shd w:val="clear" w:color="auto" w:fill="E1DFDD"/>
    </w:rPr>
  </w:style>
  <w:style w:type="paragraph" w:styleId="ListParagraph">
    <w:name w:val="List Paragraph"/>
    <w:basedOn w:val="Normal"/>
    <w:uiPriority w:val="34"/>
    <w:qFormat/>
    <w:rsid w:val="00D44024"/>
    <w:pPr>
      <w:ind w:left="720"/>
      <w:contextualSpacing/>
    </w:pPr>
  </w:style>
  <w:style w:type="paragraph" w:styleId="FootnoteText">
    <w:name w:val="footnote text"/>
    <w:basedOn w:val="Normal"/>
    <w:link w:val="FootnoteTextChar"/>
    <w:uiPriority w:val="99"/>
    <w:semiHidden/>
    <w:unhideWhenUsed/>
    <w:rsid w:val="006E6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6CB"/>
    <w:rPr>
      <w:sz w:val="20"/>
      <w:szCs w:val="20"/>
    </w:rPr>
  </w:style>
  <w:style w:type="character" w:styleId="FootnoteReference">
    <w:name w:val="footnote reference"/>
    <w:basedOn w:val="DefaultParagraphFont"/>
    <w:uiPriority w:val="99"/>
    <w:semiHidden/>
    <w:unhideWhenUsed/>
    <w:rsid w:val="006E66CB"/>
    <w:rPr>
      <w:vertAlign w:val="superscript"/>
    </w:rPr>
  </w:style>
  <w:style w:type="paragraph" w:styleId="Header">
    <w:name w:val="header"/>
    <w:basedOn w:val="Normal"/>
    <w:link w:val="HeaderChar"/>
    <w:uiPriority w:val="99"/>
    <w:unhideWhenUsed/>
    <w:rsid w:val="0067545C"/>
    <w:pPr>
      <w:tabs>
        <w:tab w:val="center" w:pos="4703"/>
        <w:tab w:val="right" w:pos="9406"/>
      </w:tabs>
      <w:spacing w:after="0" w:line="240" w:lineRule="auto"/>
    </w:pPr>
  </w:style>
  <w:style w:type="character" w:customStyle="1" w:styleId="HeaderChar">
    <w:name w:val="Header Char"/>
    <w:basedOn w:val="DefaultParagraphFont"/>
    <w:link w:val="Header"/>
    <w:uiPriority w:val="99"/>
    <w:rsid w:val="0067545C"/>
  </w:style>
  <w:style w:type="paragraph" w:styleId="Footer">
    <w:name w:val="footer"/>
    <w:basedOn w:val="Normal"/>
    <w:link w:val="FooterChar"/>
    <w:uiPriority w:val="99"/>
    <w:unhideWhenUsed/>
    <w:rsid w:val="0067545C"/>
    <w:pPr>
      <w:tabs>
        <w:tab w:val="center" w:pos="4703"/>
        <w:tab w:val="right" w:pos="9406"/>
      </w:tabs>
      <w:spacing w:after="0" w:line="240" w:lineRule="auto"/>
    </w:pPr>
  </w:style>
  <w:style w:type="character" w:customStyle="1" w:styleId="FooterChar">
    <w:name w:val="Footer Char"/>
    <w:basedOn w:val="DefaultParagraphFont"/>
    <w:link w:val="Footer"/>
    <w:uiPriority w:val="99"/>
    <w:rsid w:val="0067545C"/>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rca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F87F5-4406-4535-B287-4F1AC986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Solari-Yrigoyen</dc:creator>
  <cp:keywords/>
  <dc:description/>
  <cp:lastModifiedBy>Olivia Solari-Yrigoyen</cp:lastModifiedBy>
  <cp:revision>15</cp:revision>
  <dcterms:created xsi:type="dcterms:W3CDTF">2019-05-03T12:53:00Z</dcterms:created>
  <dcterms:modified xsi:type="dcterms:W3CDTF">2019-05-16T15:48:00Z</dcterms:modified>
</cp:coreProperties>
</file>